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C2" w:rsidRDefault="003556C2" w:rsidP="003556C2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УПВ. 01 Родной язык 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Павлово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556C2" w:rsidRDefault="003556C2" w:rsidP="003556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 на основе:</w:t>
      </w:r>
    </w:p>
    <w:p w:rsidR="003556C2" w:rsidRDefault="003556C2" w:rsidP="003556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3556C2" w:rsidRDefault="003556C2" w:rsidP="003556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3556C2" w:rsidRDefault="003556C2" w:rsidP="003556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планов специальностей 15.02.15 Технология металлообрабатывающего производства, 13.02.11Техническая эксплуатация и обслуживание электрического и электромеханического оборудования (по отраслям)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56C2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Организация-разработчик: 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ГБПОУ «Павловский автомеханический техникум им. И.И.Лепсе»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>
        <w:rPr>
          <w:rFonts w:ascii="Times New Roman" w:eastAsia="Times New Roman" w:hAnsi="Times New Roman" w:cs="Times New Roman"/>
          <w:sz w:val="24"/>
          <w:szCs w:val="24"/>
        </w:rPr>
        <w:t>/, преподаватель  ГБПОУ ПАМТ им. И.И.Лепсе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на заседании предметной (цикловой) комиссией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6 от 20.01.2021.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Коломенцева Н.Н.</w:t>
      </w: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3556C2" w:rsidTr="003556C2">
        <w:tc>
          <w:tcPr>
            <w:tcW w:w="8293" w:type="dxa"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3556C2" w:rsidTr="003556C2">
        <w:tc>
          <w:tcPr>
            <w:tcW w:w="8293" w:type="dxa"/>
          </w:tcPr>
          <w:p w:rsidR="003556C2" w:rsidRDefault="003556C2" w:rsidP="003556C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ПАСПОРТ РАБОЧЕЙ ПРОГРАММЫ УЧЕБНОго предмета 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56C2" w:rsidTr="003556C2">
        <w:tc>
          <w:tcPr>
            <w:tcW w:w="8293" w:type="dxa"/>
          </w:tcPr>
          <w:p w:rsidR="003556C2" w:rsidRDefault="003556C2" w:rsidP="003556C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СТРУКТУРА и содержание УЧЕБНОго предмета  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56C2" w:rsidTr="003556C2">
        <w:trPr>
          <w:trHeight w:val="670"/>
        </w:trPr>
        <w:tc>
          <w:tcPr>
            <w:tcW w:w="8293" w:type="dxa"/>
          </w:tcPr>
          <w:p w:rsidR="003556C2" w:rsidRDefault="003556C2" w:rsidP="003556C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условия РЕАЛИЗАЦИИ УЧЕБНОго предмета  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556C2" w:rsidTr="003556C2">
        <w:tc>
          <w:tcPr>
            <w:tcW w:w="8293" w:type="dxa"/>
            <w:hideMark/>
          </w:tcPr>
          <w:p w:rsidR="003556C2" w:rsidRDefault="003556C2" w:rsidP="003556C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УЧЕБНОго предмета  </w:t>
            </w:r>
          </w:p>
        </w:tc>
        <w:tc>
          <w:tcPr>
            <w:tcW w:w="1701" w:type="dxa"/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3556C2" w:rsidRDefault="003556C2" w:rsidP="003556C2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 Паспорт рабочей программы учебного предмета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УПВ. 01 Родной язык для технологического профиля</w:t>
      </w:r>
    </w:p>
    <w:p w:rsidR="003556C2" w:rsidRDefault="003556C2" w:rsidP="003556C2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программы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 предмета предназначена для изучения родного русского языка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предмета в структуре программы подготовки специалистов среднего звена: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 цикл.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предмета</w:t>
      </w:r>
    </w:p>
    <w:p w:rsidR="003556C2" w:rsidRDefault="003556C2" w:rsidP="003556C2">
      <w:pPr>
        <w:widowControl w:val="0"/>
        <w:numPr>
          <w:ilvl w:val="2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соответствия личностных и метапредметных результатов общим компетенциям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717"/>
        <w:gridCol w:w="3311"/>
        <w:gridCol w:w="3317"/>
      </w:tblGrid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 результаты</w:t>
            </w:r>
          </w:p>
        </w:tc>
      </w:tr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01. Выбирать способы решения задач профессиональной деятельности, применительно к различным контекстам.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чувство гордости и уважения к истории, культуре, литературе и родному языку;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самостоятельно определять цели деятельности и составлять планы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деятельности; самостоятельно осуществлять, контролировать и корректировать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деятельность; использовать все возможные ресурсы для достижения поставленных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целей и реализации планов деятельности; выбирать успешные стратегии в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различных ситуациях;</w:t>
            </w:r>
          </w:p>
        </w:tc>
      </w:tr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</w:p>
        </w:tc>
      </w:tr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03. Планировать и реализовывать собственное профессиональное и личностное развитие.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гуманистические и демократические ценности;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 04.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 познавательной деятельности, владение навыками получения необходимой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 из словарей разных типов, умение ориентироваться в различных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источниках информации, критически оценивать и интерпретировать информацию,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получаемую из различных источников;</w:t>
            </w:r>
          </w:p>
        </w:tc>
      </w:tr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07. Содействовать сохранению окружающей среды, ресурсосбережению, эффективно действовать в чрезвычайных ситуациях.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владение языковыми средствами - умение ясно, логично и точно излагать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свою точку зрения, использовать адекватные языковые средства;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использовать коммуникативные навыки и знания в области филологии для повышения собственного интеллектуального развития 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выбранной профессиональной деятельности самостоятельной, творческой и ответственной деятельности;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свою точку зрения, использовать адекватные языковые средства;</w:t>
            </w:r>
          </w:p>
        </w:tc>
      </w:tr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09. Использовать информационные технологии в профессиональной деятельности.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Испытывать чувство гордости и уважения к истории и культуре родной страны;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 10. Пользоваться профессиональной документацией на государственном и иностранном языке.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</w:t>
            </w:r>
          </w:p>
        </w:tc>
      </w:tr>
      <w:tr w:rsidR="003556C2" w:rsidTr="003556C2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11. Использовать знания по финансовой деятельности, планировать предпринимательскую деятельность в профессиональной сфере.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56C2" w:rsidRDefault="003556C2" w:rsidP="003556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556C2" w:rsidRDefault="003556C2" w:rsidP="003556C2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Предметные результаты изучения УПВ. 01 Родной язык </w:t>
      </w:r>
    </w:p>
    <w:p w:rsidR="003556C2" w:rsidRDefault="003556C2" w:rsidP="003556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учебного предмета УПВ. 01  Родной язык </w:t>
      </w:r>
    </w:p>
    <w:p w:rsidR="003556C2" w:rsidRDefault="003556C2" w:rsidP="003556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обучающимся предъявляются следующие предметные требования: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понятий о нормах русского литературного языка и применение знаний в речевой практике;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видами речевой деятельности на родном языке (аудирование,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навыков свободного использования коммуникативно-эстетических    возможностей родного языка;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понятий       и систематизация научных знаний о родном языке;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навыков проведения различных видов анализа слова, словосочетания и предложения;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словарного запаса;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самоанализа и самооценки на основе наблюдений за</w:t>
      </w:r>
    </w:p>
    <w:p w:rsidR="003556C2" w:rsidRDefault="003556C2" w:rsidP="003556C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речью; стремление       к речевому самосовершенствованию;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анализировать текст с точки зрения наличия в нем явной и</w:t>
      </w:r>
    </w:p>
    <w:p w:rsidR="003556C2" w:rsidRDefault="003556C2" w:rsidP="003556C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скрытой, основной и второстепенной информации;</w:t>
      </w:r>
    </w:p>
    <w:p w:rsidR="003556C2" w:rsidRDefault="003556C2" w:rsidP="003556C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- сформированность ответственности за языковую культуру как общечеловеческую ценность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6C2" w:rsidRDefault="003556C2" w:rsidP="003556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тем индивидуальных проектов (информационных, творческих, социальных, прикладных и др.)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 среди других языков мира.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вкус. Языковая норма. Языковая агрессия.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портрет современника.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Молодежный сленг и жаргон.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М.В. Ломоносова в развитии и популяризации русского литера-турного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Пушкин — создатель современного русского литературного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литературный язык на рубеже XX—XXI веков.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существования национального русского языка: русский литературный язык, просторечие, диалекты, жаргонизмы.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и культура.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Культурно-речевые традиции русского языка и современное состояние русской устной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экологии русского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делового общения, их языковые особенности.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Языковые особенности научного стиля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художественного стиля.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Публицистический стиль: языковые особенности, сфера использования.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Экспрессивные средства языка в художественном тексте.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 и культура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Устная и письменная формы существования русского языка и сферы их при-менения.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Стилистическое использование профессиональной и терминологической лексики в произведениях художественной литературы.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и его назначение. Типы текстов по смыслу и стилю.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Русское письмо и его эволюция.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Функционирование звуков языка в тексте: звукопись, анафора, аллитерация.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Антонимы и их роль в речи.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Синонимия в русском языке. Типы синонимов. Роль синонимов в организации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Старославянизмы и их роль в развитии русского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фразеология как средство экспрессивности в русском языке.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В.И.Даль как создатель «Словаря живого великорусского языка».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русского слова. Способы образования слов в русском языке.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изменения в структуре слова.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Учение о частях речи в русской грамматике.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Грамматические нормы русского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Лексико-грамматические разряды имен существительных (на материале про-изведений художественной литературы).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Прилагательные, их разряды, синтаксическая и стилистическая роль (на при-мере лирики русских поэтов).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наклонения глагола и ее роль в текстообразовании.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о причастии и деепричастии в русской грамматике.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Наречия и слова категории состояния: семантика, синтаксические функции, употребление.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Слова-омонимы в морфологии русского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словосочетания в построении предложения.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Односоставные предложения в русском языке: особенности структуры и семан-тики.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Синтаксическая роль инфинитива.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с однородными членами и их функции в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Обособленные члены предложения и их роль в организации текста.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стилистическая роль вводных и вставных конструкций.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Монолог и диалог. Особенности построения и употребления.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Синонимика простых предложений.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Синонимика сложных предложений.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сложных предложений в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введения чужой речи в текст.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пунктуация и ее назначение.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слов в предложении и его роль в организации художественного текста. </w:t>
      </w:r>
    </w:p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56C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556C2" w:rsidRDefault="003556C2" w:rsidP="003556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56C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556C2" w:rsidRPr="003556C2" w:rsidRDefault="003556C2" w:rsidP="003556C2">
      <w:pPr>
        <w:pStyle w:val="a3"/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Количество часов на освоение программы учебного предмета: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ОП – 78часов, 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 преподавателем: 78 часов,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556C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556C2" w:rsidRDefault="003556C2" w:rsidP="003556C2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и содержание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УПВ. 01 Родной язык для технологического профиля</w:t>
      </w:r>
    </w:p>
    <w:p w:rsidR="003556C2" w:rsidRDefault="003556C2" w:rsidP="003556C2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 Объем учебной дисциплины и виды учебной работы </w:t>
      </w: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56C2"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7904"/>
        <w:gridCol w:w="1666"/>
      </w:tblGrid>
      <w:tr w:rsidR="003556C2" w:rsidTr="003556C2">
        <w:trPr>
          <w:trHeight w:val="581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3556C2" w:rsidTr="003556C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ОП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78</w:t>
            </w:r>
          </w:p>
        </w:tc>
      </w:tr>
      <w:tr w:rsidR="003556C2" w:rsidTr="003556C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с преподавателем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</w:tr>
    </w:tbl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56C2"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p w:rsidR="003556C2" w:rsidRPr="003556C2" w:rsidRDefault="003556C2" w:rsidP="003556C2">
      <w:pPr>
        <w:pStyle w:val="a3"/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Тематический план и содержание УПВ. 01 Родной язык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ind w:left="792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9445"/>
        <w:gridCol w:w="933"/>
        <w:gridCol w:w="1215"/>
      </w:tblGrid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самостоятельная работа обучающихся.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1.1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в современном мире. Формы существования русского национального языка.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в современном мире. Русский язык в Российской Федерации. Русский язык в кругу языков народов России. Влияние русского языка на становление и развитие других языков. Формы существования русского национального языка (литературный язык, просторечие, народные говоры, профессиональные разновидности, жаргон, арго). Литературный язык и язык художественной литературы.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93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Язык и культура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Язык как зеркало национальной культуры.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Слово как хранилище материальной и духовной культуры народа. Родина, слово, время, любовь, воля, мир, будущее, правда. концепты как ключевые слова национальной культуры, отражающие ее специфику. Разграничение лексического значения и смысла.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FFFFFF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Развитие языка как объективный процесс.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Стремительный рост словарного состава языка, «неологический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FFFFFF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Культура речи. Языковая норма и ее особенности.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5" w:type="dxa"/>
            <w:shd w:val="clear" w:color="auto" w:fill="FFFFFF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3.1.</w:t>
            </w: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Основные орфоэпические нормы.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занятие№2.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Нарушение орфоэпической нормы как художественный приём.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3.2. </w:t>
            </w:r>
          </w:p>
          <w:p w:rsidR="003556C2" w:rsidRPr="003556C2" w:rsidRDefault="003556C2" w:rsidP="003556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занятие№3.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Лексическая сочетаемость слова и точность. Типичные ошибки‚ связанные с нарушением лексической сочетаемости. Тавтология. Неоправданный повтор слова. Плеоназм.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3.3. 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словосочетание.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занятие№4.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Типичные грамматические ошибки. Управление предлогов благодаря, согласно, вопреки; предлога по с количественными числительными в словосочетаниях с распределительным значением (по пять груш – по пяти груш). Правильное построение словосочетаний по типу управления (отзыв о книге – рецензия на книгу, обидеться на слово – обижен словами). Правильное употребление предлогов о‚ по‚ из‚ с в составе словосочетания (приехать из Москвы – приехать с Урала). Нагромождение одних и тех же падежных форм, в частности родительного и творительного падежа. Нормы употребления </w:t>
            </w: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однородных членов, причастных и деепричастных оборотов‚ предложений с косвенной речью.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3.4.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синтаксические нормы. Простое предложение.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Типичные грамматические ошибки. Правильное построение простого предложения. Нормы употребления однородных членов, причастных и деепричастных оборотов‚ обращений, сравнительных оборотов.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8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3.5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сложное предложение.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Типичные ошибки в построении сложных предложений: постанов-ка рядом двух однозначных союзов (но и однако, что и будто, что и как будто)‚ повторение частицы бы в предложениях с союзами чтобы и если бы‚ введение в сложное предложение лишних указательных местоимений, повтор союзного средства при последовательном подчинении. Ошибки в употреблении косвенной речи.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3.6.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Синонимия простых и сложных предложений.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Синонимия простых и сложных предложений; разных видов сложных предложений.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3.7.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Орфографические нормы. Правописание гласных в корне слова.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Практическое занятие№5.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Безударные гласные, проверяемые ударением. Чередующиеся гласные. Безударные гласные, не проверяемые ударением.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3.8.</w:t>
            </w:r>
          </w:p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занятие№6.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Неизменяемые приставки; приставки на -з (-с); приставки пре- и при-.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3.9.</w:t>
            </w:r>
          </w:p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Правописание н-нн в разных частях речи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занятие№7.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Правописание одной и двух н в различных частях речи: в именах существительных, отыменных именах прилагательных, отглагольных именах прилагательных, причастиях, наречиях.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3.10. </w:t>
            </w: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Правописание окончаний различных частей речи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занятие№8.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Буквы Е/И в падежных окончаниях имён существительных. Окончания имён прилагательных и причастий. Личные окончания глаголов.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3.11.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Слитное и раздельное написание НЕ с различными частями речи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Частица НЕ с существительными, частица НЕ с прилагательными, частица НЕ с глаголом, причастием и деепричастием, Частица НЕ с наречием и местоимение. 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3.12.</w:t>
            </w:r>
          </w:p>
          <w:p w:rsidR="003556C2" w:rsidRPr="003556C2" w:rsidRDefault="003556C2" w:rsidP="003556C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Пунктуационный нормы.</w:t>
            </w:r>
          </w:p>
          <w:p w:rsidR="003556C2" w:rsidRPr="003556C2" w:rsidRDefault="003556C2" w:rsidP="003556C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Знаки препинания в простом предложении.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Пунктуационный нормы. Знаки препинания в конце простого предложения.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Тире в простом предложении между подлежащим и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сказуемым, в неполном предложении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3.13.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t>Знаки препинания в предложении с однородными членами.</w:t>
            </w:r>
          </w:p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Знаки препинания внутри простого предложения. Постановка знаков препинания при использовании разных способов связи однородных членов. Особенность пунктуации при употреблении обобщающих слов.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3.14.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t>Знаки препинания в предложения с обособленными членами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Знаки препинания в предложения с обособленными членами. Распространенные определения, выраженные причастными оборотами или прилагательными с зависимыми словами, одиночное определение, стоящее после определяемого слова, обособленные обстоятельства, выраженные деепричастием и деепричастным оборотом. 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3.15.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t>Знаки препинания между частями сложносочиненного предложения</w:t>
            </w:r>
          </w:p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Сложносочиненное предложение. Сочинительные союзы. Знаки препинания между частями сложносочиненного предложения. 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3.16.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t xml:space="preserve">Знаки препинания между частями </w:t>
            </w: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сложноподчиненного предложения.</w:t>
            </w:r>
          </w:p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Знаки препинания между частями сложноподчиненного предложения. Подчинительные союзы.  Главное и придаточное предложения. Подчинение придаточных. Пунктуация при однородном подчинении придаточных. 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3.17.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t>Знаки препинания в сложном бессоюзном предложении.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Запятая и точка с запятой в бессоюзном сложном предложении. Двоеточие в бессоюзном сложном предложении. Тире в бессоюзном сложном предложении.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40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Раздел 4.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Речь. Речевая деятельность.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4.1.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 и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речь. Виды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речевого общения.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Речевая ситуация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занятие№9.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Язык и речь. Речевое общение как форма взаимодействия людей в процессе их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познавательно-трудовой деятельности.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Виды речевого общения: официальное и неофициальное, публичное и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непубличное. Речевая ситуация и ее компоненты.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4.2.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Устная и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письменная речь,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устной и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письменной речи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занятие№10.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Устная и письменная речь. Основные особенности устной и письменной речи. Развитие умений монологической и диалогической речи в разных сферах общения. Диалог в ситуации межкультурной коммуникации. Совершенствование культуры восприятия устной монологической и диалогической речи (аудирование).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4.3.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в Интернете.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занятие№11.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Правила информационной безопасности при общении в социальных сетях. Контактное и дистантное общение.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4.4.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соцсетей на речь молодежи.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Особенностей функционирования интернет-языка на фонетическом, лексическом, морфологическом и синтаксическом уровнях, уровне орфографии и пунктуации.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48</w:t>
            </w:r>
          </w:p>
        </w:tc>
      </w:tr>
      <w:tr w:rsidR="003556C2" w:rsidRPr="003556C2" w:rsidTr="003556C2">
        <w:trPr>
          <w:trHeight w:val="8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8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5.1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занятие№12.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и основная мысль текста. Название текста и его языковое оформление. Проблематика текста, типология проблем.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8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5.2.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Строение текста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занятие№13.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Строение текста. Структура текста. Смысловая и композиционная целостность. Членение текста на смысловые части и абзацное членение. Основная и дополнительная информация. Микротемы. Последовательность предложений в тексте. Смысловые и грамматические связи между предложениями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8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5.3.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Средства связи предложений в тексте.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Слова-заместители, лексические повторы, параллелизм, противопоставление, порядок слов в предложении (прямой и обратный).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5.4.  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Виды преобразования текстов: аннотация. 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занятие№14.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Стилистические возможности словообразования.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5.5.  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преобразования текстов: конспект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словообразования профессиональной лексики и терминов.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5.6</w:t>
            </w:r>
            <w:r w:rsidRPr="003556C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Официально-деловой стиль.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Деловое письмо, его структурные элементы и языковые особенности.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5.7</w:t>
            </w:r>
            <w:r w:rsidRPr="003556C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Учебно-научный стиль.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Доклад, сообщение. Речь оппонента на защите проекта.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  <w:r w:rsidRPr="003556C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.8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Публицистический стиль.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Проблемный очерк.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5.9.  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 художественной литературы.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занятие№15.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Диалогичность в художественном произведении. Текст и интертекст. Афоризмы. Прецедентные тексты.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5.10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Авторский замысел и его выражение.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Авторский замысел и способы его выражения в тексте художественной литературы. Замысел и возможности его воплощения в произведении художественной литературы. Способы проявления авторского сознания в произведении художественной литературы.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5.11. 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Разговорная речь. Анекдот, шутка.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занятие№16.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Разговорная речь, ее особенности, лексика в анекдотах и шутках.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5.12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Смешение стилей в тексте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Способы оформления текса, содержащие разные стили речи. Особенности текста.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72</w:t>
            </w: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6.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Создание собственного текста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6.1. Проблематика текста.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занятие№17.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Исходный текст и его проблематика, ключевые проблемы. Комментарий к сформулированной проблеме исходного текста, работа с цитатами.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6.2. Аргументация как обязательный элемент рассуждения над проблемой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занятие№18.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Аргументация собственного мнения по проблеме с опорой на художественную, публицистическую или научную литературу, а также на знания и личный опыт. Смысловая цельность, речевая связность и последовательность изложения материала в тексте рассуждения. Создание собственного текста.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Дифференцированный зачет 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3556C2" w:rsidRPr="003556C2" w:rsidRDefault="003556C2" w:rsidP="003556C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ознакомительный (узнавание ранее изученных объектов, свойств); </w:t>
      </w:r>
    </w:p>
    <w:p w:rsidR="003556C2" w:rsidRPr="003556C2" w:rsidRDefault="003556C2" w:rsidP="003556C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репродуктивный (выполнение деятельности по образцу, инструкции или под руководством)</w:t>
      </w:r>
    </w:p>
    <w:p w:rsidR="003556C2" w:rsidRPr="003556C2" w:rsidRDefault="003556C2" w:rsidP="003556C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продуктивный (планирование и самостоятельное выполнение деятельности, решение проблемных задач)</w:t>
      </w:r>
    </w:p>
    <w:p w:rsidR="003556C2" w:rsidRPr="003556C2" w:rsidRDefault="003556C2" w:rsidP="003556C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556C2" w:rsidRPr="003556C2">
          <w:pgSz w:w="16838" w:h="11906" w:orient="landscape"/>
          <w:pgMar w:top="1134" w:right="850" w:bottom="1134" w:left="1701" w:header="0" w:footer="709" w:gutter="0"/>
          <w:cols w:space="720"/>
          <w:formProt w:val="0"/>
        </w:sectPr>
      </w:pPr>
    </w:p>
    <w:p w:rsidR="003556C2" w:rsidRPr="00060F1A" w:rsidRDefault="003556C2" w:rsidP="00060F1A">
      <w:pPr>
        <w:pStyle w:val="a3"/>
        <w:widowControl w:val="0"/>
        <w:numPr>
          <w:ilvl w:val="2"/>
          <w:numId w:val="16"/>
        </w:num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  <w:r w:rsidRPr="00060F1A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lastRenderedPageBreak/>
        <w:t xml:space="preserve">Условия реализации </w:t>
      </w:r>
      <w:r w:rsidRPr="00060F1A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УПВ. 01 Родной язык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</w:p>
    <w:p w:rsidR="00060F1A" w:rsidRPr="00060F1A" w:rsidRDefault="00060F1A" w:rsidP="00060F1A">
      <w:pPr>
        <w:pStyle w:val="a3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vanish/>
          <w:sz w:val="24"/>
          <w:szCs w:val="24"/>
          <w:lang w:eastAsia="ru-RU"/>
        </w:rPr>
      </w:pPr>
    </w:p>
    <w:p w:rsidR="00060F1A" w:rsidRPr="00060F1A" w:rsidRDefault="00060F1A" w:rsidP="00060F1A">
      <w:pPr>
        <w:pStyle w:val="a3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vanish/>
          <w:sz w:val="24"/>
          <w:szCs w:val="24"/>
          <w:lang w:eastAsia="ru-RU"/>
        </w:rPr>
      </w:pPr>
    </w:p>
    <w:p w:rsidR="00060F1A" w:rsidRPr="00060F1A" w:rsidRDefault="00060F1A" w:rsidP="00060F1A">
      <w:pPr>
        <w:pStyle w:val="a3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vanish/>
          <w:sz w:val="24"/>
          <w:szCs w:val="24"/>
          <w:lang w:eastAsia="ru-RU"/>
        </w:rPr>
      </w:pPr>
    </w:p>
    <w:p w:rsidR="003556C2" w:rsidRPr="003556C2" w:rsidRDefault="00060F1A" w:rsidP="00060F1A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3.1. </w:t>
      </w:r>
      <w:bookmarkStart w:id="0" w:name="_GoBack"/>
      <w:bookmarkEnd w:id="0"/>
      <w:r w:rsidR="003556C2"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программы дисциплины требует наличия учебного кабинета русского языка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Оборудование учебного кабинета: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посадочные места по количеству студентов;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рабочее место преподавателя;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комплект учебно-наглядных пособий по родному языку;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дидактический материал.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компьютер;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проектор;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компьютерные презентации на изучаемые темы.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Библиотека, читальный зал с доступом в Интернет.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56C2" w:rsidRPr="003556C2" w:rsidRDefault="00060F1A" w:rsidP="00060F1A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3.2. </w:t>
      </w:r>
      <w:r w:rsidR="003556C2"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Информационное обеспечение обучения  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студентов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Антонова Е.С., Воителева Т.М. Русский язык: пособие для подготовки к ЕГЭ: учеб. пособие сред. проф. образования. — М.,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Антонова Е.С., Воителева Т.М. Русский язык: учебник для учреждений сред. проф. образования. — М.,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Воителева Т.М. Русский язык и литература. Русский язык (базовый уровень): учебник для 10 класса общеобразовательной школы. — М.,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Воителева Т.М. Русский язык и литература. Русский язык (базовый уровень): учебник для 11 класса общеобразовательной школы. — М.,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Воителева Т.М. Русский язык: сб. упражнений: учеб. пособие сред. проф. образования. —М.,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Голуб И. В. Стилистика русского языка.- 4-е издание. - М:Айрис-пресс, 2003.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Гольцова Н.Г., Шамшин И.В., Мищерина М.А. Русский язык и литература. Русский язык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Шутан М. И. Старшеклассникам о культуре речи: Учебное пособие. – М: Прометей, 2019.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Рогачева, Е. Н. Русский язык : учебно-методическое пособие / Е. Н. Рогачева, О. А. Фролова. — 2-е изд. — Саратов : Вузовское образование, 2019. — 158 c. — ISBN 978-5-4487-0435-2. — Текст : электронный // Электронный ресурс цифровой образовательной среды СПО PROFобразование : [сайт]. — URL: https://profspo.ru/books/79675 (дата обращения: 12.01.2022). — Режим доступа: для авторизир. пользователей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преподавателя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федеральных законов от 07.05.2013 № 99-ФЗ, от 07.06.2013 № 120-ФЗ, от 02.07.2013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060F1A">
      <w:pPr>
        <w:widowControl w:val="0"/>
        <w:numPr>
          <w:ilvl w:val="0"/>
          <w:numId w:val="14"/>
        </w:numPr>
        <w:suppressAutoHyphens/>
        <w:spacing w:after="0" w:line="240" w:lineRule="auto"/>
        <w:ind w:left="36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170-ФЗ, от 23.07.2013 № 203-ФЗ, от 25.11.2013 № 317-ФЗ, от 03.02.2014 № 11-ФЗ, от 03.02.2014 № 15-ФЗ, от 05.05.2014 № 84-ФЗ, от 27.05.2014 № 135-ФЗ, от 04.06.2014 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060F1A">
      <w:pPr>
        <w:widowControl w:val="0"/>
        <w:numPr>
          <w:ilvl w:val="0"/>
          <w:numId w:val="14"/>
        </w:numPr>
        <w:suppressAutoHyphens/>
        <w:spacing w:after="0" w:line="240" w:lineRule="auto"/>
        <w:ind w:left="36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148-ФЗ, с изменениями, внесенными Федеральным законом от 04.06.2014 № 145-ФЗ). Приказ Минобрнауки России от 17.05.2012 № 413 «Об утверждении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 Минобрнауки России от 29.12.2014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Воителева Т.М.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Русский язык: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рекомендации: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пособие для учреждений сред. проф. образования. — М.,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Горшков А.И.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Русская словесность.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слова к словесности. 10—11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классы: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учебник для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общеобразовательных учреждений. — М., 2010.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>Иванцова, Е. В. Русский язык. Фонетика. Фонология. Графика. Орфография : учебно-методическое пособие для СПО / Е. В. Иванцова. — Саратов : Профобразование, 2019. — 72 c. — ISBN 978-5-4488-0325-3. — Текст : электронный // Электронный ресурс цифровой образовательной среды СПО PROFобразование : [сайт]. — URL: https://profspo.ru/books/86148 (дата обращения: 12.01.2022). — Режим доступа: для авторизир. пользователей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Львова С.И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Таблицы по русскому языку.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 2010.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Пахнова Т.М.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Готовимся к устному и письменному экзамену по русскому языку.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2011.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Интернет-ресурсы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eor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it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eor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(учебный портал по использованию ЭОР).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ruscorpora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russkiyjazik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(энциклопедия «Языкознание»).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etymolog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ruslang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(Этимология и история русского языка).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rus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.1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september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(электронная версия газеты «Русский язык»). Сайт для учителей «Я иду на урок русского языка».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uchportal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(Учительский портал. Уроки, презентации, контрольные работы, тесты, компьютерные программы, методические разработки по русскому языку и литературе).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Ucheba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(Образовательный портал «Учеба»: «Уроки» (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uroki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metodiki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(Методики).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posobie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(Пособия).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it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communities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aspx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cat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no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=2168&amp;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tmpl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=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(Сеть творческих учителей. Информационные технологии на уроках русского языка и литературы).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prosv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umk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konkurs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info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aspx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ob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no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=12267 (Работы победителей конкурса «Учитель — учителю» издательства «Просвещение»).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spravka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gramota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(Справочная служба русского языка).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slovari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dictsearch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(Словари. ру).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gramota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class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coach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tbgramota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(Учебник грамоты)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gramota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(Справочная служба).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EXM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(Экзамены. Нормативные документы).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Словари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10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Горбачевич К.С.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Словарь трудностей современного русского языка.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СПб., 2003.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Граудина Л.К., Ицкович В.А., Катлинская Л.П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Грамматическая правильность русской речи.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Стилистический словарь вариантов. — 2-е изд., испр. и доп. — М., 2001.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Иванова О.Е., Лопатин В.В., Нечаева И.В., Чельцова Л.К. </w:t>
      </w: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Русский орфографический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словарь: около 180 000 слов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Российская академия наук.</w:t>
      </w: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Институт русского языка им.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0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В.В.Виноградова / под ред. В.В.Лопатина. — 2-е изд., испр. и доп. — М., 2004.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Крысин Л.П. </w:t>
      </w: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Толковый словарь иноязычных слов.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 2008.</w:t>
      </w:r>
    </w:p>
    <w:p w:rsidR="003556C2" w:rsidRPr="003556C2" w:rsidRDefault="003556C2" w:rsidP="003556C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Лекант П.А., Леденева В.В.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Школьный орфоэпический словарь русского языка.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2005.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Львов В.В.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Школьный орфоэпический словарь русского языка.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 2004.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Ожегов С.И.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Словарь русского языка.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Около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60 000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слов и фразеологических выражений.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25-е изд., испр. и доп. /под общ. ред. Л.И.Скворцова. — М., 2006.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Розенталь Д.Э., Краснянский В.В.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Фразеологический словарь русского языка.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2011.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Скворцов Л.И.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Большой толковый словарь правильной русской речи.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 2005.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Ушаков Д.Н., Крючков С.Е.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Орфографический словарь.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 2006.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Через дефис, слитно или раздельно?: словарь-справочник русского языка / сост.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В.В.Бурцева. — М., 2006.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556C2" w:rsidRPr="003556C2">
          <w:pgSz w:w="11906" w:h="16838"/>
          <w:pgMar w:top="1078" w:right="1300" w:bottom="619" w:left="1700" w:header="720" w:footer="720" w:gutter="0"/>
          <w:cols w:space="720"/>
        </w:sect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age39"/>
      <w:bookmarkEnd w:id="1"/>
    </w:p>
    <w:p w:rsidR="003556C2" w:rsidRPr="003556C2" w:rsidRDefault="003556C2" w:rsidP="00060F1A">
      <w:pPr>
        <w:widowControl w:val="0"/>
        <w:numPr>
          <w:ilvl w:val="0"/>
          <w:numId w:val="14"/>
        </w:numPr>
        <w:suppressAutoHyphens/>
        <w:spacing w:after="0" w:line="240" w:lineRule="auto"/>
        <w:ind w:left="644"/>
        <w:contextualSpacing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Контроль и оценка результатов освоения</w:t>
      </w:r>
      <w:r w:rsidRPr="003556C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УПВ. 01 Родной язык </w:t>
      </w:r>
      <w:r w:rsidRPr="003556C2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для</w:t>
      </w:r>
      <w:r w:rsidRPr="003556C2">
        <w:rPr>
          <w:rFonts w:ascii="Cambria" w:eastAsiaTheme="minorEastAsia" w:hAnsi="Cambria" w:cs="Times New Roman"/>
          <w:b/>
          <w:bCs/>
          <w:sz w:val="26"/>
          <w:szCs w:val="26"/>
          <w:lang w:eastAsia="ru-RU"/>
        </w:rPr>
        <w:t xml:space="preserve"> </w:t>
      </w:r>
      <w:r w:rsidRPr="003556C2">
        <w:rPr>
          <w:rFonts w:ascii="Cambria" w:eastAsiaTheme="minorEastAsia" w:hAnsi="Cambria" w:cs="Times New Roman"/>
          <w:b/>
          <w:bCs/>
          <w:sz w:val="24"/>
          <w:szCs w:val="26"/>
          <w:lang w:eastAsia="ru-RU"/>
        </w:rPr>
        <w:t>технологического профиля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 и оценка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172" w:type="pct"/>
        <w:tblLook w:val="01E0" w:firstRow="1" w:lastRow="1" w:firstColumn="1" w:lastColumn="1" w:noHBand="0" w:noVBand="0"/>
      </w:tblPr>
      <w:tblGrid>
        <w:gridCol w:w="5665"/>
        <w:gridCol w:w="4001"/>
      </w:tblGrid>
      <w:tr w:rsidR="003556C2" w:rsidRPr="003556C2" w:rsidTr="003556C2">
        <w:trPr>
          <w:trHeight w:val="528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Предметные результаты изучения </w:t>
            </w:r>
            <w:r w:rsidRPr="003556C2"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УПВ. 01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3556C2" w:rsidRPr="003556C2" w:rsidTr="003556C2">
        <w:trPr>
          <w:trHeight w:val="8862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сформированность понятий о нормах русского литературного языка и применение знаний в речевой практике;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владение видами речевой деятельности на родном языке (аудирование,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сформированность навыков свободного использования коммуникативно-эстетических    возможностей родного языка;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сформированность понятий       и систематизация научных знаний о родном языке;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сформированность навыков проведения различных видов анализа слова, словосочетания и предложения;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обогащение словарного запаса;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владение навыками самоанализа и самооценки на основе наблюдений за</w:t>
            </w:r>
          </w:p>
          <w:p w:rsidR="003556C2" w:rsidRPr="003556C2" w:rsidRDefault="003556C2" w:rsidP="003556C2">
            <w:pPr>
              <w:suppressAutoHyphens/>
              <w:spacing w:after="0" w:line="240" w:lineRule="auto"/>
              <w:ind w:left="78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собственной речью; стремление       к речевому самосовершенствованию;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владение умением анализировать текст с точки зрения наличия в нем явной и</w:t>
            </w:r>
          </w:p>
          <w:p w:rsidR="003556C2" w:rsidRPr="003556C2" w:rsidRDefault="003556C2" w:rsidP="003556C2">
            <w:pPr>
              <w:suppressAutoHyphens/>
              <w:spacing w:after="0" w:line="240" w:lineRule="auto"/>
              <w:ind w:left="78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скрытой, основной и второстепенной информации;</w:t>
            </w:r>
          </w:p>
          <w:p w:rsidR="003556C2" w:rsidRPr="003556C2" w:rsidRDefault="003556C2" w:rsidP="003556C2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- сформированность ответственности за языковую культуру как общечеловеческую ценность.</w:t>
            </w:r>
          </w:p>
          <w:p w:rsidR="003556C2" w:rsidRPr="003556C2" w:rsidRDefault="003556C2" w:rsidP="003556C2">
            <w:pPr>
              <w:suppressAutoHyphens/>
              <w:spacing w:after="0" w:line="240" w:lineRule="auto"/>
              <w:ind w:left="78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Входной контроль: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диктант с грамматическим заданием.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Текущий контроль: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тестирование,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самостоятельные и проверочные работы;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устный опрос,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индивидуальное сообщение,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конспект,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доклад,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творческая работа,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Промежуточный контроль: срезовая контрольная работа (тестирование, дифференцированные задания).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Итоговый контроль: </w:t>
            </w: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</w:p>
    <w:p w:rsidR="003556C2" w:rsidRPr="003556C2" w:rsidRDefault="003556C2" w:rsidP="003556C2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rPr>
          <w:rFonts w:eastAsiaTheme="minorEastAsia" w:cs="Times New Roman"/>
          <w:lang w:eastAsia="ru-RU"/>
        </w:rPr>
      </w:pPr>
    </w:p>
    <w:p w:rsidR="003556C2" w:rsidRPr="003556C2" w:rsidRDefault="003556C2" w:rsidP="003556C2">
      <w:pPr>
        <w:rPr>
          <w:rFonts w:eastAsiaTheme="minorEastAsia" w:cs="Times New Roman"/>
          <w:lang w:eastAsia="ru-RU"/>
        </w:rPr>
      </w:pPr>
    </w:p>
    <w:p w:rsidR="003556C2" w:rsidRPr="003556C2" w:rsidRDefault="003556C2" w:rsidP="003556C2">
      <w:pPr>
        <w:spacing w:line="259" w:lineRule="auto"/>
        <w:rPr>
          <w:rFonts w:eastAsiaTheme="minorEastAsia" w:cs="Times New Roman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36801" w:rsidRDefault="00236801" w:rsidP="003556C2"/>
    <w:sectPr w:rsidR="0023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1844"/>
        </w:tabs>
        <w:ind w:left="2204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D421B97"/>
    <w:multiLevelType w:val="multilevel"/>
    <w:tmpl w:val="5FC21B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630" w:hanging="108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410" w:hanging="144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3" w15:restartNumberingAfterBreak="0">
    <w:nsid w:val="20773BEA"/>
    <w:multiLevelType w:val="multilevel"/>
    <w:tmpl w:val="782CBD18"/>
    <w:lvl w:ilvl="0">
      <w:start w:val="1"/>
      <w:numFmt w:val="decimal"/>
      <w:lvlText w:val="%1."/>
      <w:lvlJc w:val="left"/>
      <w:pPr>
        <w:tabs>
          <w:tab w:val="num" w:pos="1844"/>
        </w:tabs>
        <w:ind w:left="2204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9C0F91"/>
    <w:multiLevelType w:val="multilevel"/>
    <w:tmpl w:val="2B4450A6"/>
    <w:lvl w:ilvl="0">
      <w:start w:val="1"/>
      <w:numFmt w:val="decimal"/>
      <w:lvlText w:val="%1."/>
      <w:lvlJc w:val="left"/>
      <w:pPr>
        <w:tabs>
          <w:tab w:val="num" w:pos="1844"/>
        </w:tabs>
        <w:ind w:left="2204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  <w:bCs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428237D5"/>
    <w:multiLevelType w:val="multilevel"/>
    <w:tmpl w:val="11124254"/>
    <w:lvl w:ilvl="0">
      <w:start w:val="1"/>
      <w:numFmt w:val="decimal"/>
      <w:lvlText w:val="%1."/>
      <w:lvlJc w:val="left"/>
      <w:pPr>
        <w:tabs>
          <w:tab w:val="num" w:pos="1844"/>
        </w:tabs>
        <w:ind w:left="2204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5826777A"/>
    <w:multiLevelType w:val="multilevel"/>
    <w:tmpl w:val="AA585F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97A6C54"/>
    <w:multiLevelType w:val="multilevel"/>
    <w:tmpl w:val="3C202B1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2D3C8D"/>
    <w:multiLevelType w:val="multilevel"/>
    <w:tmpl w:val="7024B5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F2117A7"/>
    <w:multiLevelType w:val="multilevel"/>
    <w:tmpl w:val="3716C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CD3E98"/>
    <w:multiLevelType w:val="multilevel"/>
    <w:tmpl w:val="01A8C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8035DC9"/>
    <w:multiLevelType w:val="multilevel"/>
    <w:tmpl w:val="6758140E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B56B07"/>
    <w:multiLevelType w:val="multilevel"/>
    <w:tmpl w:val="11124254"/>
    <w:lvl w:ilvl="0">
      <w:start w:val="1"/>
      <w:numFmt w:val="decimal"/>
      <w:lvlText w:val="%1."/>
      <w:lvlJc w:val="left"/>
      <w:pPr>
        <w:tabs>
          <w:tab w:val="num" w:pos="1844"/>
        </w:tabs>
        <w:ind w:left="2204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8"/>
  </w:num>
  <w:num w:numId="11">
    <w:abstractNumId w:val="0"/>
  </w:num>
  <w:num w:numId="12">
    <w:abstractNumId w:val="10"/>
  </w:num>
  <w:num w:numId="13">
    <w:abstractNumId w:val="9"/>
  </w:num>
  <w:num w:numId="14">
    <w:abstractNumId w:val="13"/>
  </w:num>
  <w:num w:numId="15">
    <w:abstractNumId w:val="6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AA"/>
    <w:rsid w:val="00060F1A"/>
    <w:rsid w:val="00123BAA"/>
    <w:rsid w:val="00236801"/>
    <w:rsid w:val="0035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9CE0"/>
  <w15:chartTrackingRefBased/>
  <w15:docId w15:val="{90CA44F0-C356-413C-AA7C-1440EF29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4773</Words>
  <Characters>27212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Преподаватель 2 Аудитория 226</cp:lastModifiedBy>
  <cp:revision>2</cp:revision>
  <dcterms:created xsi:type="dcterms:W3CDTF">2022-01-12T08:41:00Z</dcterms:created>
  <dcterms:modified xsi:type="dcterms:W3CDTF">2022-01-12T08:56:00Z</dcterms:modified>
</cp:coreProperties>
</file>