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№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</w:p>
    <w:p>
      <w:pPr>
        <w:pStyle w:val="Normal"/>
        <w:widowControl w:val="false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>
      <w:pPr>
        <w:pStyle w:val="Normal"/>
        <w:widowControl w:val="false"/>
        <w:spacing w:lineRule="auto" w:line="240" w:before="0" w:after="0"/>
        <w:ind w:right="-5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ОПЦ.08   ОХРАНА ТРУДА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82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2020 год</w:t>
      </w:r>
    </w:p>
    <w:p>
      <w:pPr>
        <w:pStyle w:val="Normal"/>
        <w:widowControl w:val="false"/>
        <w:tabs>
          <w:tab w:val="clear" w:pos="708"/>
          <w:tab w:val="left" w:pos="382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Рабочая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программа учебной дисциплины</w:t>
      </w: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 среднего профессионального образования (далее - СПО) по специальности 13.02.11 </w:t>
      </w:r>
      <w:r>
        <w:rPr>
          <w:rFonts w:eastAsia="Calibri" w:cs="Times New Roman" w:ascii="Times New Roman" w:hAnsi="Times New Roman"/>
          <w:sz w:val="28"/>
          <w:szCs w:val="28"/>
        </w:rPr>
        <w:t>Техническая эксплуатация и обслуживание электрического и электромеханичес</w:t>
      </w:r>
      <w:r>
        <w:rPr>
          <w:rFonts w:cs="Times New Roman" w:ascii="Times New Roman" w:hAnsi="Times New Roman"/>
          <w:sz w:val="28"/>
          <w:szCs w:val="28"/>
        </w:rPr>
        <w:t xml:space="preserve">кого оборудования (по отраслям), </w:t>
      </w:r>
      <w:r>
        <w:rPr>
          <w:rFonts w:cs="Times New Roman" w:ascii="Times New Roman" w:hAnsi="Times New Roman"/>
          <w:color w:val="auto"/>
          <w:sz w:val="28"/>
          <w:szCs w:val="28"/>
        </w:rPr>
        <w:t>утверждённого приказом Министерства образования и науки Российской Федерации от 28 июля 2014 г. № 831.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right="-185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right="-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Организация-разработчик: 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Разработчик: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Гноринская О.А., преподаватель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Протокол № ___ от    ___  ___ 20    г.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left"/>
        <w:rPr>
          <w:rFonts w:ascii="Times New Roman" w:hAnsi="Times New Roman" w:eastAsia="Times New Roman"/>
          <w:i/>
          <w:i/>
          <w:sz w:val="28"/>
          <w:szCs w:val="28"/>
          <w:vertAlign w:val="superscript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ПЦК _____________  / А.Г. Белых  /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СОДЕРЖАНИЕ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9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  <w:gridCol w:w="1903"/>
      </w:tblGrid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284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284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условия реализации  учебной дисциплины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284" w:firstLine="284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284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>
      <w:pPr>
        <w:pStyle w:val="Normal"/>
        <w:tabs>
          <w:tab w:val="clear" w:pos="708"/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2685" w:leader="none"/>
        </w:tabs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1. паспорт РАБОЧЕЙ ПРОГРАММЫ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ОПЦ.08.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охрана труда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13.02.11 </w:t>
      </w:r>
      <w:r>
        <w:rPr>
          <w:rFonts w:cs="Times New Roman" w:ascii="Times New Roman" w:hAnsi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firstLine="72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дисциплина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«Охрана труда»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входит в цикл общепрофессиональных дисциплин.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cs="Times New Roman" w:ascii="Times New Roman" w:hAnsi="Times New Roman"/>
          <w:b/>
          <w:sz w:val="24"/>
          <w:szCs w:val="24"/>
        </w:rPr>
        <w:t>общими компетенциями</w:t>
      </w:r>
      <w:r>
        <w:rPr>
          <w:rFonts w:cs="Times New Roman" w:ascii="Times New Roman" w:hAnsi="Times New Roman"/>
          <w:sz w:val="24"/>
          <w:szCs w:val="24"/>
        </w:rPr>
        <w:t>, включающими в себя способность: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cs="Times New Roman" w:ascii="Times New Roman" w:hAnsi="Times New Roman"/>
          <w:b/>
          <w:sz w:val="24"/>
          <w:szCs w:val="24"/>
        </w:rPr>
        <w:t>профессиональными компетенциями</w:t>
      </w:r>
      <w:r>
        <w:rPr>
          <w:rFonts w:cs="Times New Roman" w:ascii="Times New Roman" w:hAnsi="Times New Roman"/>
          <w:sz w:val="24"/>
          <w:szCs w:val="24"/>
        </w:rPr>
        <w:t>, соответствующими основным видам профессиональной деятельности: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3.1. Участвовать в планировании работы персонала производственного подразделения.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3.2. Организовывать работу коллектива исполнителей.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3.3. Анализировать результаты деятельности коллектива исполнителей.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экобиозащитную и противопожарную технику, средства коллективной и индивидуальной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и проводить анализ опасных и вредных факторов в сфере профессиональной деятельности;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состояние техники безопасности на производственном объекте;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применять безопасные приемы труда на территории организации и в производственных помещениях;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аттестацию рабочих мест по условиям труда, в том числе оценку условий труда и травмобезопасности;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инструктировать подчиненных работников (персонал) по вопросам техники безопасности;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соблюдать правила безопасности труда, производственной санитарии и пожарной безопасности.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законодательство в области охраны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нормативные документы по охране труда и здоровья, основы профгигиены, профсанитарии и пожаробезопасности;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возможные опасные и вредные факторы и средства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токсичных веществ на организм человека;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категорирование производств по взрыво- и пожароопасности;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меры предупреждения пожаров и взрывов;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требования безопасности на территории организации и в производственных помещениях;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причины возникновения пожаров и взрывов;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особенности обеспечения безопасных условий труда на производстве;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предельно допустимые концентрации и индивидуальные средства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права и обязанности работников в области охраны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и правила проведения инструктажей по охране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безопасной эксплуатации установок и аппаратов;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средства и методы повышения безопасности технических средств и технологических процессов.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 Количество часов на освоение программы дисциплины профессионального модуля: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Объем образовательной нагрузки                                          –  78 часов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самостоятельная работа обучающегося                                  –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нагрузка во взаимодействии с преподавателем                        - 60 часов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консультации –                                                                            - 12 часов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экзамен  -                                                                                     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- 6 часов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 w:before="0" w:after="0"/>
        <w:ind w:left="566" w:right="-2" w:hanging="283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10"/>
        <w:tblW w:w="15645" w:type="dxa"/>
        <w:jc w:val="left"/>
        <w:tblInd w:w="-3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6884"/>
        <w:gridCol w:w="884"/>
        <w:gridCol w:w="825"/>
        <w:gridCol w:w="883"/>
        <w:gridCol w:w="855"/>
        <w:gridCol w:w="884"/>
        <w:gridCol w:w="974"/>
        <w:gridCol w:w="2"/>
        <w:gridCol w:w="1017"/>
        <w:gridCol w:w="937"/>
      </w:tblGrid>
      <w:tr>
        <w:trPr>
          <w:trHeight w:val="1119" w:hRule="atLeast"/>
        </w:trPr>
        <w:tc>
          <w:tcPr>
            <w:tcW w:w="1498" w:type="dxa"/>
            <w:vMerge w:val="restart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vMerge w:val="restart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iCs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825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самостоятельная</w:t>
            </w:r>
          </w:p>
        </w:tc>
        <w:tc>
          <w:tcPr>
            <w:tcW w:w="883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Всего учебных занятий</w:t>
            </w:r>
          </w:p>
        </w:tc>
        <w:tc>
          <w:tcPr>
            <w:tcW w:w="2715" w:type="dxa"/>
            <w:gridSpan w:val="4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1954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>
        <w:trPr>
          <w:trHeight w:val="1414" w:hRule="atLeast"/>
        </w:trPr>
        <w:tc>
          <w:tcPr>
            <w:tcW w:w="1498" w:type="dxa"/>
            <w:vMerge w:val="continue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884" w:type="dxa"/>
            <w:vMerge w:val="continue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4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5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3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5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84" w:type="dxa"/>
            <w:tcBorders/>
            <w:shd w:fill="auto" w:val="clear"/>
            <w:textDirection w:val="btL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лабораторные работы 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4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019" w:type="dxa"/>
            <w:gridSpan w:val="2"/>
            <w:tcBorders/>
            <w:shd w:fill="auto" w:val="clear"/>
            <w:textDirection w:val="btL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37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0"/>
                <w:sz w:val="20"/>
                <w:szCs w:val="20"/>
                <w:vertAlign w:val="baseline"/>
              </w:rPr>
              <w:t>экзамен</w:t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10</w:t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Введение. Понятие о дисциплине, ее место в учебном процессе, роль и задачи.Воздействие негативных факторов на среду обитания человека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1.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1.1 Классификация и номенклатура негативных факторов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1.2 Источники и характеристики опасных механических факторов, физических негативных факторов.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Вибрация. Влияние вибрации на организм человека.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1.4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шума </w:t>
            </w:r>
          </w:p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1.5  Освещенность в производственных помещениях. Нормирование освещенности, влияние на человека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1.7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загрязнения воздушной производственной среды. 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1.8  Защита от загрязнения  водной среды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1.9  </w:t>
            </w: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Защита человека от химических и биологических негативных факторов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2.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Обеспечение комфортных условий для трудовой деятельности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2.1  </w:t>
            </w: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Микроклиматические условия производственных помещений</w:t>
            </w: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2"/>
                <w:szCs w:val="22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  <w:lang w:val="en-US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3.  Электробезопасность.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eastAsia="sans-serif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Тема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>3.1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Основы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электробезопаснос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ти.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Действия электрического тока на организм человека</w:t>
            </w:r>
          </w:p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3.2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обеспечения электробезопасности.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4.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4.1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Общие требования безопасности к металлообрабатывающему оборудованию.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Безопасное  производство на  машиностроительных предприятиях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4.2  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защиты от опасностей технических систем, оборудования и тех.процессов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5.  Психофизиологические и эргономические основы труда.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5.1   Психофизиологические основы труда.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5.2   Эргономические основы труда.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6.  Управление безопасностью труда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18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6.1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Правовые и нормативные основы охраны труда в организации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right="0" w:hanging="283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6.2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6.3   Организационные основы безопасности труда.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6.4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Основные принципы организации охраны труда на предприятии. Служба охраны труда на предприятии. Комитеты по охране труда.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6.5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Обучение, инструктаж и проверка знаний по охране труда. Ответственность за нарушение требований безопасности труда.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6.6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СОУТ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6.7  Производственный травматизм и профессиональные заболевания.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Расследование и учет несчастных случаев на производстве.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Тема6.8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7.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Защита человека от опасных факторов комплексного характера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false"/>
              <w:bidi w:val="0"/>
              <w:snapToGrid w:val="true"/>
              <w:spacing w:lineRule="auto" w:line="240" w:before="0" w:after="0"/>
              <w:ind w:left="566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Тема  7.1 Основы пожарной безопасности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7.2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Пожарная защита на производственных объектах. 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8.  Экономические механизмы управления безопасностью труда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8.1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Социально-экономическое значение, экономический механизм и источники финансирования охраны труда. Принципы приема оказания первой помощи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 xml:space="preserve">Консультации 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 xml:space="preserve">Экзамен 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</w:tr>
      <w:tr>
        <w:trPr/>
        <w:tc>
          <w:tcPr>
            <w:tcW w:w="149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 xml:space="preserve">Всего 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78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60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52</w:t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3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fals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567" w:right="567" w:header="0" w:top="850" w:footer="709" w:bottom="76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284" w:hanging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2.2.  Тематический план и содержание учебной дисциплины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ОПЦ.08.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Охрана труда </w:t>
      </w:r>
    </w:p>
    <w:tbl>
      <w:tblPr>
        <w:tblStyle w:val="9"/>
        <w:tblW w:w="15131" w:type="dxa"/>
        <w:jc w:val="left"/>
        <w:tblInd w:w="6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9"/>
        <w:gridCol w:w="7590"/>
        <w:gridCol w:w="1"/>
        <w:gridCol w:w="1108"/>
        <w:gridCol w:w="2"/>
        <w:gridCol w:w="1320"/>
      </w:tblGrid>
      <w:tr>
        <w:trPr>
          <w:trHeight w:val="489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Наименование разделов и тем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 xml:space="preserve">Содержание учебного материала, лабораторные работы и практические работы, самостоятельная  работа обучающихся                       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Объем часов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2" w:hanging="0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 xml:space="preserve">Уровень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освоения</w:t>
            </w:r>
          </w:p>
        </w:tc>
      </w:tr>
      <w:tr>
        <w:trPr>
          <w:trHeight w:val="345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2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              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rPr>
          <w:trHeight w:val="1116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Введение. Понятие о дисциплине, ее место в учебном процессе, роль и задачи.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Основные понятия и определения дисциплины. Состояние охраны труда в Российской Федерации и в других государствах. Основные задачи дисциплины. Общие понятия о трудовой деятельности человека.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Воздействие негативных факторов на среду обитания человека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15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1.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Классификация и номенклатура негативных факторов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Классификация и номенклатура негативных факторов.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Физические и химические негативные факторы.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1.2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Источники и характеристики опасных механических факторов, физических негативных факторов.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Вибрация. Влияние вибрации на организм человека.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негативных факторов производственной среды.Действие негативных факторов на организм человека.Опасные механические факторы: механические движения и действия технологического оборудования, инструмента, механизмов и машин. Источники вибрации. Влияние вибрации на организм человека. Методы и средства защиты от  вибрации.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Допустимые уровни вибрации на рабочих местах.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1.3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шума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шума. Классификация шумов. Влияние шума на организм человека.Методы и средства защиты от шума. Допустимые уровни шума на рабочих местах.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5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Практическое занятие №1. «Определение эффективности методов и средств защиты от шума на производстве»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467" w:hRule="atLeast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1.4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Освещенность в производственных помещениях.Нормирование освещенности, влияние на человека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Характеристики освещения и световой среды.Виды освещения и его нормирование.Искусственные источники света и светильники.Расчет освещения.Требования к освещению промышленных предприятий.Влияние освещения на организм человека. Виды освещения и его нормирование. Расчет освещения. Организация рабочего места для создания комфортных зрительных условий.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Практическое занятие № 2</w:t>
            </w:r>
          </w:p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«Контроль производственного освещения, расчет освещенности»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загрязнения воздушной производственной среды.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6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Классификация вредных воздействий на воздушную среду и их влияние на организм человека. Методы и средства очистки воздуха от вредных примесей.  Вентиляция промышленных предприятий. Расчет воздухообмена для обеспечения воздушной среды, соответствующей санитарным нормам.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Защита от загрязнения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водной среды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6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Методы и средства очистки воды. Обеспечение качества питьевой воды.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Практическое занятие № 3</w:t>
            </w:r>
          </w:p>
          <w:p>
            <w:pPr>
              <w:pStyle w:val="Style19"/>
              <w:spacing w:lineRule="auto" w: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yle14"/>
                <w:rFonts w:cs="Times New Roman"/>
                <w:i w:val="false"/>
                <w:sz w:val="22"/>
                <w:szCs w:val="22"/>
              </w:rPr>
              <w:t>Оценка качества  питьевой воды.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1.7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Защита человека от химических и биологических негативных факторов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2. 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Обеспечение комфортных условий для трудовой деятельности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908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2.1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Микроклиматические условия производственных помещений</w:t>
            </w: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2"/>
                <w:szCs w:val="22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200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Механический теплообмен, климат, здоровье человека.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>П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ринципы терморегуляции организма человека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Гигиеническое нормирование параметров микроклимата. Методы обеспечения комфортных климатических условий в помещениях.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3.Электробезопасность.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eastAsia="sans-serif" w:cs="Times New Roman"/>
                <w:b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Тема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>3.1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eastAsia="sans-serif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Основы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электробезопаснос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ти.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Действия электрического тока на организм человека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Общие вопросы электробезопасности. Требования безопасности при обслуживании электроустановок.Воздействие на человека электрического тока. Правила эксплуатации электроустановок, электроинструмента.Технические способы электрической защиты (заземление, зануление, изоляция).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3.2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обеспечения электробезопасности.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Категорирование помещений по степени электрической опасности. Условия поражения электрическим током. Пожарная безопасность электроустановок. Электрозащитные средства.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4.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45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4.1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Общие требования безопасности к металлообрабатывающему оборудованию.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Безопасное  производство на  машиностроительных предприятиях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Общие требования безопасности к металлообрабатывающему оборудованию и процессам.Типы механического оборудования используемые при проведении работ. Основные травмоопасные факторы. Правила безопасной эксплуатации механического оборудования. 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Средства и методы повышения безопасности технических средств и технологических процессов. Профилактические мероприятия по охране окружающей среды, технике безопасности и производственной санитарии.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131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4.2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защиты от опасностей технических систем, оборудования и тех.процессов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Обеспечение безопасности подъемно-транспортного оборудования. Методы и средства защиты при работе с технологическим оборудованием и инструментом.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Меры безопасности при использовании металлообрабатывающих станков и роботизированных технологических комплексов. Инструкции по ОТ и ТБ для работника машиностроительного производства.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Основные защитные средства.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5.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Психофизиологические и эргономические основы труда.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753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Психофизиологические основы труда.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Психофизиологические основы труда.Психические процессы, свойства и состояния, влияющие на безопасность труда.Виды и условия трудовой деятельности. Основные психологические причины травматизма.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Эргономические основы труда.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Эргономические основы труда.Организация рабочего места с точки зрения эргономических требований.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6.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Управление безопасностью труда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74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Правовые и нормативные основы охраны труда в организации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Основные понятия Федерального закона РФ «Об основах охраны труда в Российской Федерации».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Правовые, нормативные и организационные основы безопасности труда.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Правовые вопросы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в области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охраны труда.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Трудовой кодекс РФ.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Общие понятия о трудовых отношениях, коллективном договоре,трудовом договоре. Защита трудовых прав работников. Права и обязанности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работников в области охраны труда.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0" w:after="200"/>
              <w:jc w:val="center"/>
              <w:rPr>
                <w:rFonts w:ascii="Times New Roman" w:hAnsi="Times New Roman" w:eastAsia="sans-serif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283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6.2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283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Обязанности работодателя по созданию безопасных условий труда.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Реализация основных направлений по обеспечению безопасности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труда (правовые, экономические, организационные, технические и санитарно-гигиенические меры).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9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6.3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283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Организационные основы безопасности труда.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Органы управления безопасностью труда, надзора и контроля за охраной труда.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Организация общественного контроля за охраной труда на предприятии.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6.4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Основные принципы организации охраны труда на предприятии. Служба охраны труда на предприятии.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Основные принципы организации охраны труда на предприятии. Служба охраны труда на предприятии. Комитеты по охране труда.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822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6.5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right="0" w:hanging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Обучение, инструктаж и проверка знаний по охране труда. Ответственность за нарушение требований безопасности труда.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Обучение, инструктаж и проверка знаний по охране труда.Ответственность за нарушение требований безопасности труда.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6.6 </w:t>
            </w:r>
          </w:p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СОУТ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СОУТ и сертификация производственных объектов.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Порядок проведения СОУТ. Функции аттестационной комиссии.  Документы СОУТ.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1240" w:hRule="atLeast"/>
        </w:trPr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2"/>
                <w:szCs w:val="22"/>
              </w:rPr>
              <w:t>Тема 6.7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</w:rPr>
              <w:t xml:space="preserve">Производственный травматизм и профессиональные заболевания.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2"/>
                <w:szCs w:val="22"/>
              </w:rPr>
              <w:t>Расследование и учет несчастных случаев на производстве.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Производственный травматизм и профессиональные заболевания, понятие, причины и их анализ. .Расследование и учет несчастных случаев на производстве. Обязанности работников и работодателя при возникновении несчастных случаев на производстве.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Основные причины производственного травматизма и профессиональных заболеваний.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Web"/>
              <w:keepNext w:val="false"/>
              <w:keepLines w:val="false"/>
              <w:widowControl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200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Практическое занятие № 4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200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«Анализ производственного травматизма. Классификация расследования, оформление и учет несчастных случаев на производстве»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88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Тема6.8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7.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Защита человека от опасных факторов комплексного характера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/>
              <w:t xml:space="preserve">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Тема  7.1 Основы пожарной безопасности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false"/>
              <w:bidi w:val="0"/>
              <w:snapToGrid w:val="true"/>
              <w:spacing w:lineRule="auto" w:line="240" w:before="0" w:after="0"/>
              <w:ind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 xml:space="preserve">Основные понятия и определения. Причины возникновения пожаров и взрывов. Общие правила тушения пожаров. Первая помощь при пожарах и ожогах.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Классификация объектов по взрыво-пожаробезопасности. </w:t>
            </w:r>
          </w:p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Пожарная защита на производственных объектах.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Организационно –технические мероприятия по обеспечению пожарной безопасности.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>1</w:t>
            </w:r>
          </w:p>
        </w:tc>
      </w:tr>
      <w:tr>
        <w:trPr>
          <w:trHeight w:val="1289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7.2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Пожарная защита на производственных объектах. 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Государственные меры обеспечения пожарной безопасности. Функции органов Государственного пожарного надзора и их права. Задачи пожарной профилактики.  Ответственные лица за пожарную безопасность.  Первичные средства пожаротушения. Эвакуация людей при пожаре.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8.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Экономические механизмы управления безопасностью труда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557" w:hRule="atLeast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8.1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fals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Социально-экономическое значение, экономический механизм и источники финансирования охраны труда. Принципы приема оказания первой помощи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Социально-экономическое значение, экономический механизм и источники финансирования охраны труда. Экономический эффект мероприятий по улучшению условий и охране труда. Принципы приема оказания первой помощи. </w:t>
            </w:r>
            <w:r>
              <w:rPr>
                <w:rFonts w:cs="Times New Roman" w:ascii="Times New Roman" w:hAnsi="Times New Roman"/>
              </w:rPr>
              <w:t xml:space="preserve">Освобождение пострадавшего от действия вредного фактора.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Первая помощь при поражении электрическим током, при ранении, ожогах, обморожении,  при переломах, вывихах, ушибах и растяжении связок.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1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4"/>
          <w:type w:val="nextPage"/>
          <w:pgSz w:orient="landscape" w:w="16838" w:h="11906"/>
          <w:pgMar w:left="850" w:right="567" w:header="0" w:top="567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Реализация учебной дисциплины «Охрана труда» требует наличия учебного кабинета «Охрана труда».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рабочее место преподавателя;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bidi w:val="0"/>
        <w:snapToGrid w:val="true"/>
        <w:spacing w:lineRule="auto" w:line="240" w:before="0" w:after="0"/>
        <w:ind w:left="0" w:right="0" w:hanging="0"/>
        <w:jc w:val="both"/>
        <w:textAlignment w:val="auto"/>
        <w:rPr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bidi w:val="0"/>
        <w:snapToGrid w:val="true"/>
        <w:spacing w:lineRule="auto" w:line="240" w:before="0" w:after="0"/>
        <w:ind w:left="0" w:right="0"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sz w:val="28"/>
          <w:szCs w:val="28"/>
        </w:rPr>
        <w:t>проектор, интерактивная доска.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false"/>
        <w:bidi w:val="0"/>
        <w:snapToGrid w:val="true"/>
        <w:spacing w:lineRule="auto" w:line="240" w:before="0" w:after="0"/>
        <w:ind w:left="0" w:right="0" w:hanging="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методические разработки для проведения практических занятий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Основные источники: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Основные источники: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</w:t>
      </w:r>
    </w:p>
    <w:p>
      <w:pPr>
        <w:pStyle w:val="Normal"/>
        <w:spacing w:lineRule="auto" w:line="240" w:before="0" w:after="0"/>
        <w:textAlignment w:val="top"/>
        <w:rPr/>
      </w:pP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1. Куликов О.Н., Ролин Е.И. Охрана труда в металлообрабатывающей промышленности ППКРС. - М.: ОИЦ "Академия", 2016. - 8-ое изд.</w:t>
      </w:r>
    </w:p>
    <w:p>
      <w:pPr>
        <w:pStyle w:val="Normal"/>
        <w:spacing w:lineRule="auto" w:line="240" w:before="0" w:after="0"/>
        <w:textAlignment w:val="top"/>
        <w:rPr/>
      </w:pP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2. Минько В.М. Охрана труда в машиностроении ППССЗ. - М.: ОИЦ "Академия", 2018. - 5-ое изд.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3. Сибикин Ю.Д. Электробезопасность при эксплуатации электроустановок промышленных предприятий: у/п. - 9-е изд. - М.: ИЦ "Академия", 201</w:t>
      </w:r>
      <w:r>
        <w:rPr>
          <w:rFonts w:eastAsia="Arial CYR" w:cs="Times New Roman" w:ascii="Times New Roman" w:hAnsi="Times New Roman"/>
          <w:b/>
          <w:color w:val="000000"/>
          <w:sz w:val="28"/>
          <w:szCs w:val="28"/>
          <w:lang w:eastAsia="zh-CN"/>
        </w:rPr>
        <w:t>8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Дополнительные источники: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1.  Кукин П.П., Лапин В.Л., Пономарев Н.Л. – Безопасность жизнедеятельности. Производственная безопасность и охрана труда – учебное пособие для студентов средних профессиональных учебных заведений. – М: Высшая школа, 2016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 – 431 с.</w:t>
      </w:r>
    </w:p>
    <w:p>
      <w:pPr>
        <w:pStyle w:val="Normal"/>
        <w:tabs>
          <w:tab w:val="clear" w:pos="708"/>
          <w:tab w:val="left" w:pos="2685" w:leader="none"/>
        </w:tabs>
        <w:spacing w:lineRule="auto" w:line="240" w:before="0" w:after="0"/>
        <w:textAlignment w:val="top"/>
        <w:rPr>
          <w:rFonts w:ascii="Times New Roman" w:hAnsi="Times New Roman" w:eastAsia="Arial CYR" w:cs="Times New Roman"/>
          <w:color w:val="000000"/>
          <w:sz w:val="2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 оценка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Style w:val="9"/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1"/>
        <w:gridCol w:w="2566"/>
      </w:tblGrid>
      <w:tr>
        <w:trPr/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3074" w:hRule="atLeast"/>
        </w:trPr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оценивать состояние техники безопасности на производственном объекте;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инструктировать подчиненных работников (персонал) по вопросам техники 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 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законодательство в области охраны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категорирование производств по взрыво- и пожароопасности;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предупреждения пожаров и взрывов;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предельно допустимые концентрации и индивидуальные средства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результатов тестирования.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результатов практической работы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Style w:val="9"/>
        <w:tblW w:w="106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1"/>
        <w:gridCol w:w="4161"/>
        <w:gridCol w:w="2685"/>
      </w:tblGrid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1"/>
              <w:widowControl/>
              <w:snapToGrid w:val="false"/>
              <w:spacing w:lineRule="auto" w:line="240" w:before="53" w:after="0"/>
              <w:ind w:left="-108" w:hanging="0"/>
              <w:jc w:val="left"/>
              <w:rPr>
                <w:bCs/>
              </w:rPr>
            </w:pPr>
            <w:r>
              <w:rPr>
                <w:rStyle w:val="FontStyle43"/>
              </w:rPr>
              <w:t xml:space="preserve">- </w:t>
            </w:r>
            <w:r>
              <w:rPr/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Style w:val="FontStyle40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взаимодействует с обучающимися, преподавателями в ходе обучения</w:t>
            </w:r>
          </w:p>
          <w:p>
            <w:pPr>
              <w:pStyle w:val="Style161"/>
              <w:widowControl/>
              <w:snapToGrid w:val="false"/>
              <w:spacing w:lineRule="auto" w:line="240"/>
              <w:jc w:val="left"/>
              <w:rPr>
                <w:rStyle w:val="FontStyle40"/>
                <w:bCs/>
              </w:rPr>
            </w:pPr>
            <w:r>
              <w:rPr>
                <w:bCs/>
              </w:rPr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может брать на себя ответственность за работу членов команды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7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-выполняет наладку, регулировку и проверку электрического и электромеханического оборудования.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организует и выполняет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-осуществляет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2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составляет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-организует и выполняет работы по эксплуатации, обслуживанию и ремонту бытовой техники.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2.3. Прогнозировать отказы, определять ресурсы, обнаруживать дефекты электробытовой техники.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-прогнозирует отказы, определяет ресурсы, обнаруживает дефекты электробытовой техники.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3.1. Участвовать в планировании работы персонала производственного подразделения.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-участвует в планировании работы персонала производственного подразделения.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3.2. Организовывать работу коллектива исполнителей.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-организует  работу коллектива исполнителей.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-анализирует результаты деятельности коллектива исполнителей.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685" w:leader="none"/>
        </w:tabs>
        <w:spacing w:before="0" w:after="0"/>
        <w:jc w:val="left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41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 w:semiHidden="0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 w:val="false"/>
      <w:spacing w:lineRule="auto" w:line="276" w:before="0" w:after="200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Выделение"/>
    <w:basedOn w:val="DefaultParagraphFont"/>
    <w:uiPriority w:val="0"/>
    <w:qFormat/>
    <w:rPr>
      <w:i/>
      <w:iCs/>
    </w:rPr>
  </w:style>
  <w:style w:type="character" w:styleId="Style15" w:customStyle="1">
    <w:name w:val="Верхний колонтитул Знак"/>
    <w:basedOn w:val="DefaultParagraphFont"/>
    <w:link w:val="2"/>
    <w:uiPriority w:val="99"/>
    <w:qFormat/>
    <w:rPr/>
  </w:style>
  <w:style w:type="character" w:styleId="Style16" w:customStyle="1">
    <w:name w:val="Нижний колонтитул Знак"/>
    <w:basedOn w:val="DefaultParagraphFont"/>
    <w:link w:val="4"/>
    <w:uiPriority w:val="99"/>
    <w:qFormat/>
    <w:rPr/>
  </w:style>
  <w:style w:type="character" w:styleId="Style17" w:customStyle="1">
    <w:name w:val="Основной текст Знак"/>
    <w:basedOn w:val="DefaultParagraphFont"/>
    <w:link w:val="3"/>
    <w:uiPriority w:val="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42" w:customStyle="1">
    <w:name w:val="Font Style42"/>
    <w:uiPriority w:val="0"/>
    <w:qFormat/>
    <w:rPr>
      <w:rFonts w:ascii="Times New Roman" w:hAnsi="Times New Roman" w:cs="Times New Roman"/>
      <w:sz w:val="26"/>
      <w:szCs w:val="26"/>
    </w:rPr>
  </w:style>
  <w:style w:type="character" w:styleId="FontStyle40" w:customStyle="1">
    <w:name w:val="Font Style40"/>
    <w:uiPriority w:val="0"/>
    <w:qFormat/>
    <w:rPr>
      <w:rFonts w:ascii="Times New Roman" w:hAnsi="Times New Roman" w:cs="Times New Roman"/>
      <w:sz w:val="22"/>
      <w:szCs w:val="22"/>
    </w:rPr>
  </w:style>
  <w:style w:type="character" w:styleId="FontStyle43" w:customStyle="1">
    <w:name w:val="Font Style43"/>
    <w:uiPriority w:val="0"/>
    <w:qFormat/>
    <w:rPr>
      <w:rFonts w:ascii="Times New Roman" w:hAnsi="Times New Roman" w:cs="Times New Roman"/>
      <w:sz w:val="22"/>
      <w:szCs w:val="22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link w:val="13"/>
    <w:uiPriority w:val="0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11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2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widowControl w:val="false"/>
      <w:spacing w:before="0" w:after="0"/>
    </w:pPr>
    <w:rPr>
      <w:lang w:val="en-US"/>
    </w:rPr>
  </w:style>
  <w:style w:type="paragraph" w:styleId="2">
    <w:name w:val="List Bullet 3"/>
    <w:basedOn w:val="Normal"/>
    <w:uiPriority w:val="99"/>
    <w:unhideWhenUsed/>
    <w:pPr>
      <w:suppressAutoHyphens w:val="false"/>
      <w:spacing w:before="0" w:after="200"/>
      <w:ind w:left="566" w:hanging="283"/>
      <w:contextualSpacing/>
    </w:pPr>
    <w:rPr/>
  </w:style>
  <w:style w:type="paragraph" w:styleId="ConsPlusNormal" w:customStyle="1">
    <w:name w:val="ConsPlusNormal"/>
    <w:uiPriority w:val="0"/>
    <w:qFormat/>
    <w:pPr>
      <w:widowControl w:val="false"/>
      <w:spacing w:lineRule="auto" w:line="240" w:before="0" w:after="0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1" w:customStyle="1">
    <w:name w:val="Style16"/>
    <w:basedOn w:val="Normal"/>
    <w:uiPriority w:val="0"/>
    <w:qFormat/>
    <w:pPr>
      <w:widowControl w:val="false"/>
      <w:suppressAutoHyphens w:val="true"/>
      <w:spacing w:lineRule="exact" w:line="266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5" w:customStyle="1">
    <w:name w:val="Прижатый влево"/>
    <w:basedOn w:val="Normal"/>
    <w:next w:val="Normal"/>
    <w:uiPriority w:val="0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table" w:default="1" w:styleId="9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9"/>
    <w:uiPriority w:val="5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32627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 LibreOffice_project/20$Build-2</Application>
  <Pages>18</Pages>
  <Words>3502</Words>
  <Characters>24858</Characters>
  <CharactersWithSpaces>28427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2012-10-25T00:31:00Z</dcterms:created>
  <dc:creator>Францкзова</dc:creator>
  <dc:description/>
  <dc:language>ru-RU</dc:language>
  <cp:lastModifiedBy/>
  <cp:lastPrinted>2019-10-15T23:12:00Z</cp:lastPrinted>
  <dcterms:modified xsi:type="dcterms:W3CDTF">2022-09-15T08:50:31Z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