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tbl>
      <w:tblPr>
        <w:tblStyle w:val="ac"/>
        <w:tblpPr w:vertAnchor="text" w:horzAnchor="margin" w:tblpXSpec="right" w:leftFromText="180" w:rightFromText="180" w:tblpY="181"/>
        <w:tblW w:w="437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74"/>
      </w:tblGrid>
      <w:tr>
        <w:trPr>
          <w:trHeight w:val="1939" w:hRule="atLeast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РАБОЧАЯ ПРОГРАММА УЧЕБНОГО ПРЕДМЕТА «МАТЕМАТИКА»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Павлово, 2022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>
      <w:pPr>
        <w:pStyle w:val="Normal"/>
        <w:spacing w:lineRule="auto" w:line="24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Рабочая программа учебного предмета «Математика» 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2/16-з), а также с учетом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 от 17.03.2015 №06-259) 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1.1. Планируемые личностные результаты освоения ООП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экологонаправленной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эстетическое отношения к миру, готовность к эстетическому обустройству собственного быта.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положительный образ семьи, родительства (отцовства и материнства), интериоризация традиционных семейных ценностей.</w:t>
      </w:r>
    </w:p>
    <w:p>
      <w:pPr>
        <w:pStyle w:val="Pboth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>
      <w:pPr>
        <w:pStyle w:val="Pboth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>
      <w:pPr>
        <w:pStyle w:val="Pboth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>
      <w:pPr>
        <w:pStyle w:val="Pboth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>
      <w:pPr>
        <w:pStyle w:val="Pboth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1.2. Планируемые метапредметные результаты освоения ООП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1.2.1 Регулятивные универсальные учебные действия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Выпускник научится: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1.2.2 Познавательные универсальные учебные действия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Выпускник научится: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1.2.3. Коммуникативные универсальные учебные действия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Выпускник научится: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1.3. Планируемые предметные результаты освоения ООП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bookmarkStart w:id="4" w:name="_Toc453968187"/>
      <w:r>
        <w:rPr>
          <w:rFonts w:cs="Times New Roman" w:ascii="Times New Roman" w:hAnsi="Times New Roman"/>
          <w:b/>
          <w:sz w:val="24"/>
          <w:szCs w:val="24"/>
        </w:rPr>
        <w:t>Математика: алгебра и начала математического анализа, геометрия</w:t>
      </w:r>
      <w:bookmarkEnd w:id="4"/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принятой Концепцией развития математического образования в Российской Федерации, математическое образование решает, в частности, следующие ключевые задачи: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«предоставлять каждому обучающемуся возможность достижения уровня математических знаний, необходимого для дальнейшей успешной жизни в обществе»;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др.»;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образования».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Соответственно, выделяются три направления требований к результатам математического образования: 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практико-ориентированное математическое образование (математика для жизни);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математика для использования в профессии;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творческое направление, на которое нацелены те обучающиеся, которые планируют заниматься творческой и исследовательской работой в области математики, физики, экономики и других областях.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Эти направления реализуются в двух блоках требований к результатам математического образования: на базовом уровне и на углублённом уровне.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базовом уровне: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Выпускник </w:t>
      </w:r>
      <w:r>
        <w:rPr>
          <w:rFonts w:cs="Times New Roman" w:ascii="Times New Roman" w:hAnsi="Times New Roman"/>
          <w:b/>
          <w:bCs/>
          <w:sz w:val="24"/>
          <w:szCs w:val="24"/>
        </w:rPr>
        <w:t>научится</w:t>
      </w:r>
      <w:r>
        <w:rPr>
          <w:rFonts w:cs="Times New Roman" w:ascii="Times New Roman" w:hAnsi="Times New Roman"/>
          <w:sz w:val="24"/>
          <w:szCs w:val="24"/>
        </w:rPr>
        <w:t>: 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Выпускник </w:t>
      </w:r>
      <w:r>
        <w:rPr>
          <w:rFonts w:cs="Times New Roman" w:ascii="Times New Roman" w:hAnsi="Times New Roman"/>
          <w:b/>
          <w:bCs/>
          <w:sz w:val="24"/>
          <w:szCs w:val="24"/>
        </w:rPr>
        <w:t>получит возможность научиться</w:t>
      </w:r>
      <w:r>
        <w:rPr>
          <w:rFonts w:cs="Times New Roman" w:ascii="Times New Roman" w:hAnsi="Times New Roman"/>
          <w:sz w:val="24"/>
          <w:szCs w:val="24"/>
        </w:rPr>
        <w:t>: 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углубленном уровне: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Выпускник </w:t>
      </w:r>
      <w:r>
        <w:rPr>
          <w:rFonts w:cs="Times New Roman" w:ascii="Times New Roman" w:hAnsi="Times New Roman"/>
          <w:b/>
          <w:bCs/>
          <w:sz w:val="24"/>
          <w:szCs w:val="24"/>
        </w:rPr>
        <w:t>научится</w:t>
      </w:r>
      <w:r>
        <w:rPr>
          <w:rFonts w:cs="Times New Roman" w:ascii="Times New Roman" w:hAnsi="Times New Roman"/>
          <w:sz w:val="24"/>
          <w:szCs w:val="24"/>
        </w:rPr>
        <w:t>: для успешного продолжения образования по специальностям, связанным с прикладным использованием математики.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Выпускник </w:t>
      </w:r>
      <w:r>
        <w:rPr>
          <w:rFonts w:cs="Times New Roman" w:ascii="Times New Roman" w:hAnsi="Times New Roman"/>
          <w:b/>
          <w:bCs/>
          <w:sz w:val="24"/>
          <w:szCs w:val="24"/>
        </w:rPr>
        <w:t>получит возможность научиться</w:t>
      </w:r>
      <w:r>
        <w:rPr>
          <w:rFonts w:cs="Times New Roman" w:ascii="Times New Roman" w:hAnsi="Times New Roman"/>
          <w:sz w:val="24"/>
          <w:szCs w:val="24"/>
        </w:rPr>
        <w:t>: 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1.4.1 В сфере отношения обучающихся к себе, своему здоровью, познанию себя: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1.4.3 В сфере отношения обучающихся к закону, государству и к гражданскому обществу: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1.4.4. В сфере отношений обучающихся с окружающими людьми: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1.4.7. В сфере трудовых и социально-экономических отношений: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Индивидуальный проект</w:t>
      </w:r>
      <w:r>
        <w:rPr>
          <w:rFonts w:cs="Times New Roman" w:ascii="Times New Roman" w:hAnsi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Индивидуальный проект выполняется обучающимся самостоятельно под руководством учителя (преподавателя, тьютора)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Результаты выполнения индивидуального проекта отражают:</w:t>
      </w:r>
    </w:p>
    <w:p>
      <w:pPr>
        <w:pStyle w:val="ListParagraph"/>
        <w:numPr>
          <w:ilvl w:val="0"/>
          <w:numId w:val="1"/>
        </w:numPr>
        <w:spacing w:lineRule="auto" w:line="240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>
      <w:pPr>
        <w:pStyle w:val="ListParagraph"/>
        <w:numPr>
          <w:ilvl w:val="0"/>
          <w:numId w:val="1"/>
        </w:numPr>
        <w:spacing w:lineRule="auto" w:line="240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>
      <w:pPr>
        <w:pStyle w:val="ListParagraph"/>
        <w:numPr>
          <w:ilvl w:val="0"/>
          <w:numId w:val="1"/>
        </w:numPr>
        <w:spacing w:lineRule="auto" w:line="240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>
      <w:pPr>
        <w:pStyle w:val="ListParagraph"/>
        <w:numPr>
          <w:ilvl w:val="0"/>
          <w:numId w:val="1"/>
        </w:numPr>
        <w:spacing w:lineRule="auto" w:line="240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 УЧЕБНОГО ПРЕДМЕТА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Федеральным законом «Об образовании в РФ» (ст. 12 п. 7) организации, осуществляющие образовательную деятельность, реализуют эти требования в образовательном процессе с учетом настоящей примерной основной образовательной программы </w:t>
      </w:r>
      <w:r>
        <w:rPr/>
        <w:drawing>
          <wp:inline distT="0" distB="0" distL="0" distR="0">
            <wp:extent cx="8890" cy="88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как на основе учебно-методических комплектов соответствующего уровня, входящих в Федеральный перечень Министерства образования и науки Российской Федерации, так и с возможным использованием иных источников учебной информации (учебно-методические пособия, образовательные порталы и сайты и др.)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изучении математики на углубленном уроне предъявляются требования, соответствующие направлению «математика для профессиональной деятельности»; вместе с тем выпускник получает возможность изучить математику на гораздо более высоком уровне, что создаст фундамент для дальнейшего серьезного изучения математики в вузе.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Примерные программы содержат сравнительно новый для российской школы раздел «Вероятность и статистика». К этому разделу относятся также сведения из логики, комбинаторики и теории графов, значительно варьирующиеся в зависимости от типа программы.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 всех примерных программах большое внимание уделяется практико-ориентированным задачам. Одна из основных целей, которую разработчики ставили перед собой, – создать примерные программы, где есть место применению математических знаний в жизни.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изучении математики большое внимание уделяется развитию коммуникативных умений (формулировать, аргументировать и критиковать), формированию основ логического мышления в части проверки истинности и ложности утверждений, построения примеров и контрпримеров, цепочек утверждений, формулировки отрицаний, а также необходимых и достаточных условий. В зависимости от уровня программы больше или меньше внимания уделяется умению работать по алгоритму, методам поиска алгоритма и определению границ применимости алгоритмов. Требования, сформулированные в разделе «Геометрия», в большей степени относятся к развитию пространственных представлений и графических методов, чем к формальному описанию стереометрических фактов. 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Алгебра и начала анализа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Повторение.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 задач с использованием градусной меры угла. Модуль числа и его свойства.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  <w:sz w:val="24"/>
          <w:szCs w:val="24"/>
        </w:rPr>
        <w:t>. Графическое решение уравнений и неравенств.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</w:t>
      </w:r>
      <w:r>
        <w:rPr>
          <w:rFonts w:eastAsia="Symbol" w:cs="Symbol" w:ascii="Symbol" w:hAnsi="Symbol"/>
          <w:sz w:val="24"/>
          <w:szCs w:val="24"/>
        </w:rPr>
        <w:t></w:t>
      </w:r>
      <w:r>
        <w:rPr>
          <w:rFonts w:cs="Times New Roman" w:ascii="Times New Roman" w:hAnsi="Times New Roman"/>
          <w:sz w:val="24"/>
          <w:szCs w:val="24"/>
        </w:rPr>
        <w:t>, 30</w:t>
      </w:r>
      <w:r>
        <w:rPr>
          <w:rFonts w:eastAsia="Symbol" w:cs="Symbol" w:ascii="Symbol" w:hAnsi="Symbol"/>
          <w:sz w:val="24"/>
          <w:szCs w:val="24"/>
        </w:rPr>
        <w:t></w:t>
      </w:r>
      <w:r>
        <w:rPr>
          <w:rFonts w:cs="Times New Roman" w:ascii="Times New Roman" w:hAnsi="Times New Roman"/>
          <w:sz w:val="24"/>
          <w:szCs w:val="24"/>
        </w:rPr>
        <w:t>, 45</w:t>
      </w:r>
      <w:r>
        <w:rPr>
          <w:rFonts w:eastAsia="Symbol" w:cs="Symbol" w:ascii="Symbol" w:hAnsi="Symbol"/>
          <w:sz w:val="24"/>
          <w:szCs w:val="24"/>
        </w:rPr>
        <w:t></w:t>
      </w:r>
      <w:r>
        <w:rPr>
          <w:rFonts w:cs="Times New Roman" w:ascii="Times New Roman" w:hAnsi="Times New Roman"/>
          <w:sz w:val="24"/>
          <w:szCs w:val="24"/>
        </w:rPr>
        <w:t>, 60</w:t>
      </w:r>
      <w:r>
        <w:rPr>
          <w:rFonts w:eastAsia="Symbol" w:cs="Symbol" w:ascii="Symbol" w:hAnsi="Symbol"/>
          <w:sz w:val="24"/>
          <w:szCs w:val="24"/>
        </w:rPr>
        <w:t></w:t>
      </w:r>
      <w:r>
        <w:rPr>
          <w:rFonts w:cs="Times New Roman" w:ascii="Times New Roman" w:hAnsi="Times New Roman"/>
          <w:sz w:val="24"/>
          <w:szCs w:val="24"/>
        </w:rPr>
        <w:t>, 90</w:t>
      </w:r>
      <w:r>
        <w:rPr>
          <w:rFonts w:eastAsia="Symbol" w:cs="Symbol" w:ascii="Symbol" w:hAnsi="Symbol"/>
          <w:sz w:val="24"/>
          <w:szCs w:val="24"/>
        </w:rPr>
        <w:t></w:t>
      </w:r>
      <w:r>
        <w:rPr>
          <w:rFonts w:cs="Times New Roman" w:ascii="Times New Roman" w:hAnsi="Times New Roman"/>
          <w:sz w:val="24"/>
          <w:szCs w:val="24"/>
        </w:rPr>
        <w:t>, 180</w:t>
      </w:r>
      <w:r>
        <w:rPr>
          <w:rFonts w:eastAsia="Symbol" w:cs="Symbol" w:ascii="Symbol" w:hAnsi="Symbol"/>
          <w:sz w:val="24"/>
          <w:szCs w:val="24"/>
        </w:rPr>
        <w:t></w:t>
      </w:r>
      <w:r>
        <w:rPr>
          <w:rFonts w:cs="Times New Roman" w:ascii="Times New Roman" w:hAnsi="Times New Roman"/>
          <w:sz w:val="24"/>
          <w:szCs w:val="24"/>
        </w:rPr>
        <w:t>, 270</w:t>
      </w:r>
      <w:r>
        <w:rPr>
          <w:rFonts w:eastAsia="Symbol" w:cs="Symbol" w:ascii="Symbol" w:hAnsi="Symbol"/>
          <w:sz w:val="24"/>
          <w:szCs w:val="24"/>
        </w:rPr>
        <w:t></w:t>
      </w:r>
      <w:r>
        <w:rPr>
          <w:rFonts w:cs="Times New Roman" w:ascii="Times New Roman" w:hAnsi="Times New Roman"/>
          <w:sz w:val="24"/>
          <w:szCs w:val="24"/>
        </w:rPr>
        <w:t>. (</w:t>
      </w:r>
      <w:r>
        <w:rPr/>
        <w:object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72.85pt;height:36.45pt;mso-wrap-distance-right:0pt" filled="f" o:ole="">
            <v:imagedata r:id="rId4" o:title=""/>
          </v:shape>
          <o:OLEObject Type="Embed" ProgID="Equation.DSMT4" ShapeID="ole_rId3" DrawAspect="Content" ObjectID="_565670434" r:id="rId3"/>
        </w:object>
      </w:r>
      <w:r>
        <w:rPr>
          <w:rFonts w:cs="Times New Roman" w:ascii="Times New Roman" w:hAnsi="Times New Roman"/>
          <w:sz w:val="24"/>
          <w:szCs w:val="24"/>
        </w:rPr>
        <w:t xml:space="preserve"> рад). Формулы сложения тригонометрических функций, формулы приведения, формулы двойного аргумента..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Нули функции, промежутки знакопостоянства, монотонность. Наибольшее и наименьшее значение функции. Периодические функции. Четность и нечетность функций. Сложные функции.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Тригонометрические функции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cos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sin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tg</m:t>
        </m:r>
        <m:r>
          <w:rPr>
            <w:rFonts w:ascii="Cambria Math" w:hAnsi="Cambria Math"/>
          </w:rPr>
          <m:t xml:space="preserve">x</m:t>
        </m:r>
      </m:oMath>
      <w:r>
        <w:rPr>
          <w:rFonts w:cs="Times New Roman" w:ascii="Times New Roman" w:hAnsi="Times New Roman"/>
          <w:bCs/>
          <w:sz w:val="24"/>
          <w:szCs w:val="24"/>
        </w:rPr>
        <w:t xml:space="preserve">. Функция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ctg</m:t>
        </m:r>
        <m:r>
          <w:rPr>
            <w:rFonts w:ascii="Cambria Math" w:hAnsi="Cambria Math"/>
          </w:rPr>
          <m:t xml:space="preserve">x</m:t>
        </m:r>
      </m:oMath>
      <w:r>
        <w:rPr>
          <w:rFonts w:cs="Times New Roman" w:ascii="Times New Roman" w:hAnsi="Times New Roman"/>
          <w:bCs/>
          <w:sz w:val="24"/>
          <w:szCs w:val="24"/>
        </w:rPr>
        <w:t>. Свойства и графики тригонометрических функций.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Арккосинус, арксинус, арктангенс числа. Арккотангенс числа. Простейшие тригонометрические уравнения. Решение тригонометрических уравнений.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Обратные тригонометрические функции, их свойства и графики. Решение простейших тригонометрических неравенств.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Логарифм числа, свойства логарифма. Десятичный логарифм. Число е. Натуральный логарифм. Преобразование логарифмических выражений. Логарифмические уравнения и неравенства. Логарифмическая функция и ее свойства и график.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Степенная функция и ее свойства и график. Иррациональные уравнения.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Метод интервалов для решения неравенств.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Преобразования графиков функций: сдвиг вдоль координатных осей, растяжение и сжатие,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Системы показательных, логарифмических и иррациональных уравнений. Системы показательных, логарифмических неравенств.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Взаимно обратные функции. Графики взаимно обратных функций.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Уравнения, системы уравнений с параметром.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Производная функции в точке. Касательная к графику функции. Геометрический и физический смысл производной. Производные элементарных функций. Правила дифференцирования.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Вторая производная, ее геометрический и физический смысл.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Построение графиков функций с помощью производных. Применение производной при решении задач.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Первообразная. Первообразные элементарных функций. Площадь криволинейной трапеции. Формула Ньютона-Лейбница.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Определенный интеграл. Вычисление площадей плоских фигур и объемов тел вращения с помощью интеграла.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Геометрия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Повторение.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Решение задач с применением свойств фигур на плоскости. Задачи на доказательство и построение контрпримеров.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Решение задач с помощью векторов и координат.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Наглядная стереометрия. Фигуры и их изображения (куб, пирамида, призма). Основные понятия стереометрии и их свойства. Сечения куба и тетраэдра.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Расстояния между фигурами в пространстве.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Углы в пространстве. Перпендикулярность прямых и плоскостей.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Проекция фигуры на плоскость. Признаки перпендикулярности прямых и плоскостей в пространстве. Теорема о трех перпендикулярах.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Многогранники. Параллелепипед. Свойства прямоугольного параллелепипеда. Теорема Пифагора в пространстве. Призма и пирамида. Правильная пирамида и правильная призма. Прямая пирамида. Элементы призмы и пирамиды.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Простейшие комбинации многогранников и тел вращения между собой. </w:t>
      </w:r>
      <w:r>
        <w:rPr>
          <w:rFonts w:cs="Times New Roman" w:ascii="Times New Roman" w:hAnsi="Times New Roman"/>
          <w:bCs/>
          <w:sz w:val="24"/>
          <w:szCs w:val="24"/>
        </w:rPr>
        <w:t xml:space="preserve">Вычисление элементов пространственных фигур (ребра, диагонали, углы).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Площадь поверхности правильной пирамиды и прямой призмы. Площадь поверхности прямого кругового цилиндра, прямого кругового конуса и шара.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Понятие об объеме. Объем пирамиды и конуса, призмы и цилиндра. Объем шара.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Подобные тела в пространстве. Соотношения между площадями поверхностей и объемами подобных тел.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Векторы и координаты в пространстве. Сумма векторов, умножение вектора на число, угол между векторами. Коллинеарные и компланарные векторы. 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Элементы комбинаторики. Вероятность и статистика. Работа с данными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Повторение. 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 дисперсии. 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 Решение задач с применением диаграмм Эйлера, дерева вероятностей, формулы Бернулли.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Условная вероятность. Правило умножения вероятностей. Формула полной вероятности.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Дискретные случайные величины и распределения. Независимые случайные величины. Распределение суммы и произведения независимых случайных величин.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Математическое ожидание и дисперсия случайной величины. Математическое ожидание и дисперсия суммы случайных величин. Геометрическое распределение. Биномиальное распределение и его свойства.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Непрерывные случайные величины. Понятие о плотности вероятности. Равномерное распределение.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Показательное распределение, его параметры.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о нормальном распределении. Параметры нормального распределения. Примеры случайных величин, подчиненных нормальному закону (погрешность измерений, рост человека).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Неравенство Чебышева. Теорема Бернулли. Закон больших чисел. Выборочный метод измерения вероятностей. Роль закона больших чисел в науке, природе и обществе.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Ковариация двух случайных величин. Понятие о коэффициенте корреляции.</w:t>
      </w:r>
      <w:r>
        <w:rPr>
          <w:rFonts w:cs="Times New Roman" w:ascii="Times New Roman" w:hAnsi="Times New Roman"/>
          <w:bCs/>
          <w:sz w:val="24"/>
          <w:szCs w:val="24"/>
        </w:rPr>
        <w:t xml:space="preserve"> Совместные наблюдения двух случайных величин. Выборочный коэффициент корреляции.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ТЕМАТИЧЕСКИЙ ПЛАН</w:t>
      </w:r>
    </w:p>
    <w:tbl>
      <w:tblPr>
        <w:tblpPr w:bottomFromText="160" w:horzAnchor="text" w:leftFromText="180" w:rightFromText="180" w:tblpX="-39" w:tblpY="1" w:topFromText="0" w:vertAnchor="text"/>
        <w:tblW w:w="92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5"/>
        <w:gridCol w:w="7256"/>
        <w:gridCol w:w="1278"/>
      </w:tblGrid>
      <w:tr>
        <w:trPr>
          <w:tblHeader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4" w:before="0" w:after="0"/>
              <w:ind w:left="12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№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</w:rPr>
              <w:t>Наименование разделов  и тем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8" w:before="0" w:after="0"/>
              <w:ind w:left="-108" w:right="-110" w:hanging="0"/>
              <w:jc w:val="center"/>
              <w:rPr>
                <w:rFonts w:ascii="Times New Roman" w:hAnsi="Times New Roman" w:eastAsia="Calibri"/>
                <w:b/>
                <w:b/>
                <w:bCs/>
              </w:rPr>
            </w:pPr>
            <w:r>
              <w:rPr>
                <w:rFonts w:eastAsia="MS Gothic" w:ascii="Times New Roman" w:hAnsi="Times New Roman"/>
                <w:b/>
                <w:bCs/>
                <w:color w:val="000000"/>
                <w:shd w:fill="FFFFFF" w:val="clear"/>
              </w:rPr>
              <w:t>Количество</w:t>
            </w:r>
            <w:r>
              <w:rPr>
                <w:rFonts w:eastAsia="Calibri" w:ascii="Times New Roman" w:hAnsi="Times New Roman"/>
                <w:b/>
                <w:bCs/>
                <w:color w:val="000000"/>
                <w:shd w:fill="FFFFFF" w:val="clear"/>
              </w:rPr>
              <w:t xml:space="preserve"> часов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0"/>
              <w:ind w:left="120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</w:rPr>
              <w:t>Введение. Развитие понятия о числе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8" w:before="0" w:after="0"/>
              <w:ind w:left="33" w:hanging="87"/>
              <w:jc w:val="both"/>
              <w:rPr>
                <w:rFonts w:ascii="Times New Roman" w:hAnsi="Times New Roman" w:eastAsia="MS Gothic"/>
                <w:b/>
                <w:b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MS Gothic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</w:rPr>
              <w:t>12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Введение. Натуральные, целые и рациональные числа. Действительные числа.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Десятичные приближения действительных чисел. Действия над действительными числами. Геометрическое изображение множества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действительных чисел.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Вычисления с приближенными данными.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Комплексные числа. Геометрическое изображение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комплексных чисел. Алгебраическая форма комплексного числа. Модуль комплексного числа.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Действия над комплексными числами в алгебраической форме.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Решение уравнений с комплексными неизвестными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с действительным показателем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8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Арифметический корень натуральной степени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44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Преобразования алгебраических выражений содержащих корни натуральных степеней.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Степени с рациональным и действительным показателем. Свойства степени.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Тождественные преобразования показательных выражений.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Степенная функция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12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11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Степенная функция. Ее свойства и график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Взаимно-обратные функции. Сложная функция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Равносильные уравнения и неравенства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Решение рациональных уравнений.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Иррациональные уравнения.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Решение иррациональных уравнений и неравенств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Показательная функция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12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Свойства степени с действительным показателем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Показательная функция.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Показательные  уравнения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Показательные неравенства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Решение показательных уравнений и неравенств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Системы показательных уравнений и неравенств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>
          <w:trHeight w:val="35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Логарифмическая функция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18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Определение логарифма. Основное логарифмическое тождество.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Вычисление логарифмов. Десятичный и натуральный логарифмы.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Основный свойства логарифмов. Применение свойств логарифмов для вычислений и преобразования выражений.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8" w:before="0" w:after="0"/>
              <w:ind w:left="34" w:hanging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Преобразования выражений с помощью формул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логарифмирования и  потенцирования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8" w:before="0" w:after="0"/>
              <w:ind w:left="34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Формула перехода к новому основанию.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8" w:before="0" w:after="0"/>
              <w:ind w:left="34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 функция. Ее свойства и график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8" w:before="0" w:after="0"/>
              <w:ind w:left="34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8" w:before="0" w:after="0"/>
              <w:ind w:left="34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 логарифмические неравенства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8" w:before="0" w:after="0"/>
              <w:ind w:left="34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логарифмических уравнений. Приемы и способы решения логарифмических уравнений.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8" w:before="0" w:after="0"/>
              <w:ind w:left="34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стереометрию. Взаимное расположение прямых и плоскостей в пространстве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стереометрии. Аксиомы стереометрии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jc w:val="both"/>
              <w:rPr>
                <w:rFonts w:ascii="Times New Roman" w:hAnsi="Times New Roman" w:eastAsia="Times New Roman"/>
                <w:b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Взаимное расположение двух прямых в пространстве. Угол между прямыми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Параллельность прямой и плоскости. Признак параллельности прямой и плоскости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Параллельность плоскостей. Признак параллельности плоскостей. Свойства параллельности плоскостей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Тетраэдр и параллелепипед. Построение сечений тетраэдра и параллелепипеда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 и наклонная. Угол между прямой и плоскостью.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о трех перпендикулярах.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Двугранный угол. Угол между плоскостями. Перпендикулярность двух плоскостей.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взаимное расположение прямых и плоскостей в пространстве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Тригонометрические формулы.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Радианная мера угла. Поворот точки вокруг начала координат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синуса, косинуса,  тангенса и котангенса угла. Знаки тригонометрических функций.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тригонометрическое тождество. Решение задач на доказательство тригонометрических тождеств и преобразование тригонометрических выражений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Формулы сложения. Синус и косинус суммы и разности двух углов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формулы двойного угла. Тригонометрические формулы половинного угла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Формулы приведения. Решение задач с помощью формул приведения.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Произведение синусов и косинусов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Обратные тригонометрические функции. Арксинус, арккосинус и арктангенс числа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Простейшие тригонометрические уравнения sinx=a.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Простейшие тригонометрические уравнения cosx=a.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Простейшие тригонометрические уравнения tg=a.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Тригонометрические уравнения, сводящиеся к алгебраическим. Способ замены при решении тригонометрических уравнений.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Простейшие тригонометрические неравенства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Решение различных тригонометрических уравнений и неравенств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Четность, нечетность и периодичность тригонометрических функций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Свойства функций у=соsx  и ее свойства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Свойства функций у=sinx и ее свойства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Свойства и график функций у=tgx, y=ctgx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Элементы теории пределов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</w:rPr>
              <w:t>12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Числовая последовательность. Способы задания и с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войства числовой последовательности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ru-RU"/>
              </w:rPr>
              <w:t>Предел последовательности. Сумма бесконечно убывающей геометрической последовательности.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Понятие предела функции    в точке.  Бесконечно</w:t>
              <w:softHyphen/>
              <w:t>-большие и бесконечно-малые функции.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Непрерывность функции в точке и на промежутке.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Понятие о точках разрыва функции. Свойства непрерывности функции в точке.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Теоремы о пределах. Предел функции при </w:t>
            </w:r>
            <w:r>
              <w:fldChar w:fldCharType="begin"/>
            </w:r>
            <w:r>
              <w:rPr>
                <w:sz w:val="24"/>
                <w:szCs w:val="24"/>
                <w:rFonts w:eastAsia="Calibri" w:ascii="Times New Roman" w:hAnsi="Times New Roman"/>
              </w:rPr>
              <w:instrText xml:space="preserve">QUOTE</w:instrText>
            </w:r>
            <w:r>
              <w:rPr>
                <w:rFonts w:eastAsia="Calibri" w:ascii="Times New Roman" w:hAnsi="Times New Roman"/>
                <w:sz w:val="24"/>
                <w:szCs w:val="24"/>
              </w:rPr>
            </w:r>
            <w:r>
              <w:rPr/>
              <w:drawing>
                <wp:inline distT="0" distB="0" distL="0" distR="0">
                  <wp:extent cx="457200" cy="180975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х</m:t>
              </m:r>
              <m:r>
                <w:rPr>
                  <w:rFonts w:ascii="Cambria Math" w:hAnsi="Cambria Math"/>
                </w:rPr>
                <m:t xml:space="preserve">→</m:t>
              </m:r>
              <m:r>
                <w:rPr>
                  <w:rFonts w:ascii="Cambria Math" w:hAnsi="Cambria Math"/>
                </w:rPr>
                <m:t xml:space="preserve">∞</m:t>
              </m:r>
            </m:oMath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.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ru-RU"/>
              </w:rPr>
              <w:t>Вычисление пределов.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Производная и ее геометрический смысл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Мгновенная скорость. Определение производной.  Физический смысл производной 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дифференцирования.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Производная степенной функции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Производная элементарных функций. Производная сложной функции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смысл производной. Уравнение касательной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Возрастание и убывание функций. Экстремумы функций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Наибольшее и наименьшее значения функций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Производная второго порядка. Выпуклость функций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функций с помощью производной. Построение графиков с помощью производной.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</w:rPr>
              <w:t>12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Понятие первообразной. Неопределенный интеграл.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Правила вычисления неопределенных интегралов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 криволинейной трапеции Определенный интеграл.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Формула Ньютона-Лейбница. Вычисление интегралов.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Вычисление площади фигуры с помощью определенного интеграла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Применение интегралов для решения физических задач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Многогранники.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</w:rPr>
              <w:t>12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Понятие о геометрическом теле и его поверхности. Понятие о многограннике, элементы многогранника. Виды многогранников. Призма. Виды призм. Сечение призмы плоскостью.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Параллелепипед и его свойства.  Решение задач на вычисление пощади поверхности и объёма призмы и параллелепипеда.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Пирамида. Виды пирамид. Сечения пирамиды плоскостью.  Усеченная пирамида, виды усеченных пирамид Вычисление элементов пирамиды Площадь поверхности пирамиды и усеченной пирамиды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Решение задач на вычисление пощади поверхности и объёма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пирамиды и усеченной пирамиды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Вычисление  площади поверхности составного многогранника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Вычисление объема составного многогранника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Тела вращения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  <w:b/>
              </w:rPr>
              <w:t>12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Тела вращения. Цилиндр. Решение задач на вычисление элементов цилиндра.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Площадь поверхности цилиндра. Объем цилиндра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Коническое тело.  Конус. Виды конусов. 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Площадь поверхности конуса и усеченого конуса . Объем конуса и усеченного конуса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Сфера и шар. Вычисление элементов сферы и шара.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 поверхности и объем шара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Вычисление площадей поверхности и объемов составных пространственных тел.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Элементы комбинаторики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bCs/>
              </w:rPr>
            </w:pPr>
            <w:r>
              <w:rPr>
                <w:rFonts w:eastAsia="Calibri" w:ascii="Times New Roman" w:hAnsi="Times New Roman"/>
                <w:b/>
                <w:bCs/>
              </w:rPr>
              <w:t>10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Предмет комбинаторики. Правило произведения.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Перестановки.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Размещения. Размещения с повторениями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Сочетания с повторениями . Сочетания без повторений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Бином Ньютона. Решение комбинаторных задач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Элементы теории вероятностей и математической статистики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bCs/>
              </w:rPr>
            </w:pPr>
            <w:r>
              <w:rPr>
                <w:rFonts w:eastAsia="Calibri" w:ascii="Times New Roman" w:hAnsi="Times New Roman"/>
                <w:b/>
                <w:bCs/>
              </w:rPr>
              <w:t>14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События. Виды событий. Классическое определение вероятности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Сложение вероятностей. Основные теоремы вероятности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Условная вероятность. Независимость событий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Формула Бернулли. Решение задач 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Дискретная случайная величина, закон ее распределения .Числовые характеристики случайной величины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Понятие о задачах математической статистики. Выборка, среднее арифметическое, медиана.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Векторы в пространстве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bCs/>
              </w:rPr>
            </w:pPr>
            <w:r>
              <w:rPr>
                <w:rFonts w:eastAsia="Calibri" w:ascii="Times New Roman" w:hAnsi="Times New Roman"/>
                <w:b/>
                <w:bCs/>
              </w:rPr>
              <w:t>20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Понятие вектора в пространстве. Равенство векторов. Сложение и вычитание векторов в пространстве. Умножение вектора на число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Компланарные векторы. Правило параллелепипеда. Разложение вектора по трем некомпланарным векторам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Решение геометрических задач векторным способом.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Прямоугольная система координат в пространстве. Координаты точки и вектора в пространстве.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Действия над векторами, заданными своими координатами. Длина вектора. Условие компланарности двух векторов.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Формула вычисления расстояния между двумя точками через их координаты. Координаты середины отрезка. Угол между векторами. Скалярное произведение векторов. Условие перпендикулярности двух векторов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Скалярное произведение векторов, заданных своими координатами. Вычисление угла между векторами.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Вычисление углов между прямыми и плоскостями.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Уравнение прямой в пространстве Уравнение плоскости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Векторное произведение двух векторов. Вычисление векторного произведения векторов через их координаты.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Решение задач координатным способом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Вычисление расстояния от точки до плоскости координатным способом. Вычисление расстояния между прямыми в пространстве координатным способом.  Вычисление площади параллелограмма  координатным способом.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  <w:t>132  часа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 w:before="0" w:after="0"/>
              <w:ind w:firstLine="283"/>
              <w:jc w:val="both"/>
              <w:rPr>
                <w:rFonts w:ascii="Times New Roman" w:hAnsi="Times New Roman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</w:rPr>
            </w:pPr>
            <w:r>
              <w:rPr>
                <w:rFonts w:eastAsia="Calibri" w:ascii="Times New Roman" w:hAnsi="Times New Roman"/>
                <w:b/>
              </w:rPr>
              <w:t>366 часов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Литература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Башмаков М.И. Математика: учеб. для учр.нач.проф. и сред.проф. обр. – М.: Академия, 2013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Виноградов Ю.Н. Математика и информатика: учебник для студ. сред. проф. обр. – М.: Издательский центр «Академия»,2012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Математика в примерах и задачах. Часть 1: учебное пособие , Вышэйшая школа, 2014, ЭБС  IPRbooks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Омельченко В.П. Математика: учеб.пособие для учреждений сред.проф.образования,-Ростов н/Д: Феникс,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Михеев В.С. Математика: учеб. пособие для учреждений сред. профессионального обр. - Ростов н/Д: Феникс, 2012    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Алпатов А.В. и др.    Математика: У/п для СПО. - Профиздат, 2017. - 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ЭБС  IPRbooks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Майсеня Л.И. Справочник по математике, 2012. -  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ЭБС  IPRbooks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Маслова Т.Н.   Справочник по математике. - Мир и образование, 2013. -  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ЭБС  IPRbooks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Справочник по математике и физике. - Вышэйшая школа, 2014. - 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ЭБС    IPRbook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Колягин Ю.М. Алгебра и начало анализа, 10 класс: учебник для общеобразовательных учреждений. -М.: Мнемозина, 2020.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Колягин Ю.М. Алгебра и начало анализа, 11 класс: </w:t>
      </w:r>
      <w:bookmarkStart w:id="5" w:name="_Hlk119264107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учебник для общеобразовательных учреждений. -М.: </w:t>
      </w:r>
      <w:bookmarkEnd w:id="5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Мнемозина, 2020.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Атанасян Л.С. Геометрия 10-11 класс, учебник для общеобразовательных учреждений. -М.: Просвещение,  2019</w:t>
      </w:r>
    </w:p>
    <w:sectPr>
      <w:footerReference w:type="default" r:id="rId6"/>
      <w:type w:val="nextPage"/>
      <w:pgSz w:w="11906" w:h="16838"/>
      <w:pgMar w:left="1701" w:right="850" w:gutter="0" w:header="0" w:top="1134" w:footer="283" w:bottom="1134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94772311"/>
    </w:sdtPr>
    <w:sdtContent>
      <w:p>
        <w:pPr>
          <w:pStyle w:val="Style27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16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/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/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/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/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/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/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/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6e8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332807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01c6b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38" w:customStyle="1">
    <w:name w:val="Font Style38"/>
    <w:qFormat/>
    <w:rsid w:val="00332807"/>
    <w:rPr>
      <w:rFonts w:ascii="Times New Roman" w:hAnsi="Times New Roman" w:cs="Times New Roman"/>
      <w:b/>
      <w:bCs/>
      <w:sz w:val="26"/>
      <w:szCs w:val="26"/>
    </w:rPr>
  </w:style>
  <w:style w:type="character" w:styleId="11" w:customStyle="1">
    <w:name w:val="Заголовок 1 Знак"/>
    <w:basedOn w:val="DefaultParagraphFont"/>
    <w:uiPriority w:val="99"/>
    <w:qFormat/>
    <w:rsid w:val="00332807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Style12" w:customStyle="1">
    <w:name w:val="Гипертекстовая ссылка"/>
    <w:basedOn w:val="DefaultParagraphFont"/>
    <w:uiPriority w:val="99"/>
    <w:qFormat/>
    <w:rsid w:val="00332807"/>
    <w:rPr>
      <w:color w:val="106BBE"/>
    </w:rPr>
  </w:style>
  <w:style w:type="character" w:styleId="Style13" w:customStyle="1">
    <w:name w:val="Интернет-ссылка"/>
    <w:basedOn w:val="DefaultParagraphFont"/>
    <w:uiPriority w:val="99"/>
    <w:unhideWhenUsed/>
    <w:rsid w:val="003e5484"/>
    <w:rPr>
      <w:color w:val="0563C1" w:themeColor="hyperlink"/>
      <w:u w:val="single"/>
    </w:rPr>
  </w:style>
  <w:style w:type="character" w:styleId="Style14" w:customStyle="1">
    <w:name w:val="Перечень Знак"/>
    <w:qFormat/>
    <w:locked/>
    <w:rsid w:val="005d6900"/>
    <w:rPr>
      <w:rFonts w:ascii="Times New Roman" w:hAnsi="Times New Roman" w:cs="Times New Roman"/>
      <w:sz w:val="28"/>
      <w:u w:val="none" w:color="000000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e01c6b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e01c6b"/>
    <w:rPr>
      <w:sz w:val="22"/>
    </w:rPr>
  </w:style>
  <w:style w:type="character" w:styleId="Style16" w:customStyle="1">
    <w:name w:val="Нижний колонтитул Знак"/>
    <w:basedOn w:val="DefaultParagraphFont"/>
    <w:uiPriority w:val="99"/>
    <w:qFormat/>
    <w:rsid w:val="00e01c6b"/>
    <w:rPr>
      <w:sz w:val="22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474ced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rsid w:val="00d56e88"/>
    <w:pPr>
      <w:spacing w:lineRule="auto" w:line="276" w:before="0" w:after="140"/>
    </w:pPr>
    <w:rPr/>
  </w:style>
  <w:style w:type="paragraph" w:styleId="Style20">
    <w:name w:val="List"/>
    <w:basedOn w:val="Style19"/>
    <w:rsid w:val="00d56e88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12" w:customStyle="1">
    <w:name w:val="Заголовок1"/>
    <w:basedOn w:val="Normal"/>
    <w:next w:val="Style19"/>
    <w:qFormat/>
    <w:rsid w:val="00d56e88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Caption">
    <w:name w:val="caption"/>
    <w:basedOn w:val="Normal"/>
    <w:qFormat/>
    <w:rsid w:val="00d56e8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d56e88"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6d7dc2"/>
    <w:pPr>
      <w:spacing w:before="0" w:after="160"/>
      <w:ind w:left="720" w:hanging="0"/>
      <w:contextualSpacing/>
    </w:pPr>
    <w:rPr/>
  </w:style>
  <w:style w:type="paragraph" w:styleId="Pboth" w:customStyle="1">
    <w:name w:val="pboth"/>
    <w:basedOn w:val="Normal"/>
    <w:qFormat/>
    <w:rsid w:val="0077319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 w:customStyle="1">
    <w:name w:val="Перечень"/>
    <w:basedOn w:val="Normal"/>
    <w:next w:val="Normal"/>
    <w:qFormat/>
    <w:rsid w:val="005d6900"/>
    <w:pPr>
      <w:suppressAutoHyphens w:val="true"/>
      <w:spacing w:lineRule="auto" w:line="360" w:before="0" w:after="0"/>
      <w:ind w:firstLine="284"/>
      <w:jc w:val="both"/>
    </w:pPr>
    <w:rPr>
      <w:rFonts w:ascii="Times New Roman" w:hAnsi="Times New Roman" w:cs="Times New Roman"/>
      <w:sz w:val="28"/>
      <w:u w:val="none" w:color="000000"/>
    </w:rPr>
  </w:style>
  <w:style w:type="paragraph" w:styleId="Style24" w:customStyle="1">
    <w:name w:val="Содержимое врезки"/>
    <w:basedOn w:val="Normal"/>
    <w:qFormat/>
    <w:rsid w:val="00d56e88"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unhideWhenUsed/>
    <w:rsid w:val="00e01c6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Style16"/>
    <w:uiPriority w:val="99"/>
    <w:unhideWhenUsed/>
    <w:rsid w:val="00e01c6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474c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004e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3D91-454C-44CD-97A4-805C74D9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LibreOffice/7.3.7.2$Windows_X86_64 LibreOffice_project/e114eadc50a9ff8d8c8a0567d6da8f454beeb84f</Application>
  <AppVersion>15.0000</AppVersion>
  <Pages>18</Pages>
  <Words>5049</Words>
  <Characters>37088</Characters>
  <CharactersWithSpaces>41603</CharactersWithSpaces>
  <Paragraphs>595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2022-11-14T11:17:00Z</dcterms:created>
  <dc:creator>Учетная запись Майкрософт</dc:creator>
  <dc:description/>
  <dc:language>ru-RU</dc:language>
  <cp:lastModifiedBy/>
  <dcterms:modified xsi:type="dcterms:W3CDTF">2023-05-19T14:37:59Z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