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93" w:rsidRDefault="00175C93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F6760D" w:rsidRDefault="00F6760D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760D" w:rsidRDefault="00F6760D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760D" w:rsidRDefault="00F6760D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Pr="00565DBF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75C93" w:rsidRPr="00565DBF" w:rsidRDefault="00175C93" w:rsidP="00175C93">
      <w:pPr>
        <w:jc w:val="center"/>
        <w:rPr>
          <w:rFonts w:ascii="Times New Roman" w:hAnsi="Times New Roman"/>
          <w:b/>
          <w:i/>
        </w:rPr>
      </w:pPr>
    </w:p>
    <w:p w:rsidR="00175C93" w:rsidRPr="00141B55" w:rsidRDefault="00175C93" w:rsidP="00141B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1B55">
        <w:rPr>
          <w:rFonts w:ascii="Times New Roman" w:hAnsi="Times New Roman"/>
          <w:b/>
          <w:sz w:val="32"/>
          <w:szCs w:val="32"/>
        </w:rPr>
        <w:t>РАБОЧАЯ ПРОГРАММА УЧЕБНОЙ ДИСЦИПЛИНЫ</w:t>
      </w: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75C93" w:rsidRPr="00141B55" w:rsidRDefault="00175C93" w:rsidP="00141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B55">
        <w:rPr>
          <w:rFonts w:ascii="Times New Roman" w:hAnsi="Times New Roman"/>
          <w:b/>
          <w:sz w:val="28"/>
          <w:szCs w:val="28"/>
        </w:rPr>
        <w:t>Безопасность жизнедеятельности</w:t>
      </w: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</w:rPr>
      </w:pPr>
    </w:p>
    <w:p w:rsidR="00175C93" w:rsidRDefault="00175C93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</w:rPr>
      </w:pPr>
      <w:r w:rsidRPr="00565DBF">
        <w:rPr>
          <w:rFonts w:ascii="Times New Roman" w:hAnsi="Times New Roman"/>
        </w:rPr>
        <w:t>201</w:t>
      </w:r>
      <w:r w:rsidR="00D7705C">
        <w:rPr>
          <w:rFonts w:ascii="Times New Roman" w:hAnsi="Times New Roman"/>
        </w:rPr>
        <w:t>9</w:t>
      </w:r>
    </w:p>
    <w:p w:rsidR="00175C93" w:rsidRPr="00757FE7" w:rsidRDefault="00175C93" w:rsidP="006119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565DBF">
        <w:rPr>
          <w:rFonts w:ascii="Times New Roman" w:hAnsi="Times New Roman"/>
          <w:b/>
          <w:sz w:val="24"/>
          <w:szCs w:val="24"/>
        </w:rPr>
        <w:lastRenderedPageBreak/>
        <w:br/>
      </w:r>
      <w:r w:rsidRPr="00757FE7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СОДЕРЖАНИЕ</w:t>
      </w:r>
    </w:p>
    <w:p w:rsidR="00175C93" w:rsidRPr="00404EAF" w:rsidRDefault="00175C93" w:rsidP="006119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175C93" w:rsidRPr="00404EAF" w:rsidRDefault="00175C93" w:rsidP="006119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69"/>
      </w:tblGrid>
      <w:tr w:rsidR="00175C93" w:rsidTr="00196734">
        <w:tc>
          <w:tcPr>
            <w:tcW w:w="7933" w:type="dxa"/>
          </w:tcPr>
          <w:p w:rsidR="00175C93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175C93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</w:p>
        </w:tc>
      </w:tr>
      <w:tr w:rsidR="00175C93" w:rsidTr="00196734">
        <w:tc>
          <w:tcPr>
            <w:tcW w:w="7933" w:type="dxa"/>
          </w:tcPr>
          <w:p w:rsidR="00175C93" w:rsidRPr="00404EAF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E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ОБЩАЯ ХАРАКТЕРИСТИК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511F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ПРОГРАММЫ </w:t>
            </w:r>
            <w:r w:rsidRPr="005A664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  <w:r w:rsidRPr="00A451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75C93" w:rsidRPr="00404EAF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175C93" w:rsidRDefault="00511FC1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5C93" w:rsidTr="00196734">
        <w:tc>
          <w:tcPr>
            <w:tcW w:w="7933" w:type="dxa"/>
          </w:tcPr>
          <w:p w:rsidR="00175C93" w:rsidRPr="00404EAF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E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СТРУКТУРА И СОДЕРЖАНИЕ </w:t>
            </w:r>
            <w:r w:rsidRPr="005A664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  <w:p w:rsidR="00175C93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69" w:type="dxa"/>
          </w:tcPr>
          <w:p w:rsidR="00175C93" w:rsidRDefault="00511FC1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5C93" w:rsidTr="00196734">
        <w:tc>
          <w:tcPr>
            <w:tcW w:w="7933" w:type="dxa"/>
          </w:tcPr>
          <w:p w:rsidR="00175C93" w:rsidRPr="005A6641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4E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  <w:p w:rsidR="00175C93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175C93" w:rsidRDefault="00511FC1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75C93" w:rsidTr="00196734">
        <w:tc>
          <w:tcPr>
            <w:tcW w:w="7933" w:type="dxa"/>
          </w:tcPr>
          <w:p w:rsidR="00175C93" w:rsidRPr="00073B3D" w:rsidRDefault="00175C93" w:rsidP="0061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9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609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 И ОЦЕНКА РЕЗУЛЬТАТОВ ОСВОЕНИЯ </w:t>
            </w:r>
            <w:r w:rsidRPr="005A6641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  <w:p w:rsidR="00175C93" w:rsidRDefault="00175C93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</w:tcPr>
          <w:p w:rsidR="00175C93" w:rsidRDefault="00511FC1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75C93" w:rsidRDefault="00175C93" w:rsidP="00175C93">
      <w:pPr>
        <w:pStyle w:val="a3"/>
        <w:tabs>
          <w:tab w:val="left" w:pos="1080"/>
        </w:tabs>
        <w:spacing w:before="240" w:line="360" w:lineRule="auto"/>
        <w:ind w:left="600"/>
        <w:jc w:val="both"/>
        <w:rPr>
          <w:b/>
        </w:rPr>
      </w:pPr>
    </w:p>
    <w:p w:rsidR="00175C93" w:rsidRDefault="00175C93" w:rsidP="00175C93">
      <w:pPr>
        <w:pStyle w:val="a3"/>
        <w:tabs>
          <w:tab w:val="left" w:pos="1080"/>
        </w:tabs>
        <w:spacing w:before="240" w:line="360" w:lineRule="auto"/>
        <w:ind w:left="600"/>
        <w:jc w:val="both"/>
        <w:rPr>
          <w:b/>
        </w:rPr>
      </w:pPr>
      <w:r>
        <w:rPr>
          <w:b/>
        </w:rPr>
        <w:br w:type="page"/>
      </w:r>
    </w:p>
    <w:p w:rsidR="00175C93" w:rsidRPr="006119DD" w:rsidRDefault="00175C93" w:rsidP="00F6760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19D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Pr="006119DD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F6760D">
        <w:rPr>
          <w:rFonts w:ascii="Times New Roman" w:hAnsi="Times New Roman"/>
          <w:b/>
          <w:sz w:val="28"/>
          <w:szCs w:val="28"/>
        </w:rPr>
        <w:t>РАБОЧЕЙ</w:t>
      </w:r>
      <w:r w:rsidRPr="006119DD">
        <w:rPr>
          <w:rFonts w:ascii="Times New Roman" w:hAnsi="Times New Roman"/>
          <w:b/>
          <w:sz w:val="28"/>
          <w:szCs w:val="28"/>
        </w:rPr>
        <w:t xml:space="preserve"> ПРОГРАММЫ УЧЕБНОЙ ДИСЦИПЛИНЫ</w:t>
      </w:r>
    </w:p>
    <w:p w:rsidR="00175C93" w:rsidRPr="00F6760D" w:rsidRDefault="00175C93" w:rsidP="00F676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760D">
        <w:rPr>
          <w:rFonts w:ascii="Times New Roman" w:hAnsi="Times New Roman"/>
          <w:b/>
          <w:color w:val="000000" w:themeColor="text1"/>
          <w:sz w:val="28"/>
          <w:szCs w:val="28"/>
        </w:rPr>
        <w:t>ОП.0</w:t>
      </w:r>
      <w:r w:rsidR="006119DD" w:rsidRPr="00F6760D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F676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Безопасность жизнедеятельности</w:t>
      </w:r>
    </w:p>
    <w:p w:rsidR="006119DD" w:rsidRPr="00760D4C" w:rsidRDefault="006119DD" w:rsidP="006119D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5C93" w:rsidRPr="006119DD" w:rsidRDefault="00175C93" w:rsidP="006119DD">
      <w:pPr>
        <w:pStyle w:val="a3"/>
        <w:numPr>
          <w:ilvl w:val="1"/>
          <w:numId w:val="6"/>
        </w:numPr>
        <w:spacing w:after="0"/>
        <w:rPr>
          <w:b/>
        </w:rPr>
      </w:pPr>
      <w:r w:rsidRPr="006119DD">
        <w:rPr>
          <w:b/>
        </w:rPr>
        <w:t>Область применения рабочей программы</w:t>
      </w:r>
    </w:p>
    <w:p w:rsidR="006119DD" w:rsidRPr="006119DD" w:rsidRDefault="006119DD" w:rsidP="006119DD">
      <w:pPr>
        <w:spacing w:after="0"/>
        <w:rPr>
          <w:b/>
        </w:rPr>
      </w:pPr>
    </w:p>
    <w:p w:rsidR="00175C93" w:rsidRDefault="00F6760D" w:rsidP="006119DD">
      <w:pPr>
        <w:spacing w:after="0" w:line="240" w:lineRule="auto"/>
        <w:ind w:left="-709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75C93" w:rsidRPr="00760D4C">
        <w:rPr>
          <w:rFonts w:ascii="Times New Roman" w:hAnsi="Times New Roman"/>
          <w:sz w:val="24"/>
          <w:szCs w:val="24"/>
        </w:rPr>
        <w:t>абочая программа учебной дисциплины является частью основной образовательной пр</w:t>
      </w:r>
      <w:r w:rsidR="00175C93" w:rsidRPr="00760D4C">
        <w:rPr>
          <w:rFonts w:ascii="Times New Roman" w:hAnsi="Times New Roman"/>
          <w:sz w:val="24"/>
          <w:szCs w:val="24"/>
        </w:rPr>
        <w:t>о</w:t>
      </w:r>
      <w:r w:rsidR="00175C93" w:rsidRPr="00760D4C">
        <w:rPr>
          <w:rFonts w:ascii="Times New Roman" w:hAnsi="Times New Roman"/>
          <w:sz w:val="24"/>
          <w:szCs w:val="24"/>
        </w:rPr>
        <w:t xml:space="preserve">граммы в соответствии с ФГОС СПО </w:t>
      </w:r>
      <w:r w:rsidR="00175C93" w:rsidRPr="00760D4C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272F8E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специальностям </w:t>
      </w:r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>15.02.15 Технология металлообрабат</w:t>
      </w:r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>вающего производства</w:t>
      </w:r>
      <w:r w:rsidR="00272F8E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 xml:space="preserve">13.02.11 Техническая эксплуатация и обслуживание электрического и электромеханического оборудования </w:t>
      </w:r>
      <w:proofErr w:type="gramStart"/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 xml:space="preserve">( </w:t>
      </w:r>
      <w:proofErr w:type="gramEnd"/>
      <w:r w:rsidR="00272F8E" w:rsidRPr="00272F8E">
        <w:rPr>
          <w:rFonts w:ascii="Times New Roman" w:hAnsi="Times New Roman"/>
          <w:color w:val="000000" w:themeColor="text1"/>
          <w:sz w:val="24"/>
          <w:szCs w:val="24"/>
        </w:rPr>
        <w:t>по отраслям)</w:t>
      </w:r>
    </w:p>
    <w:p w:rsidR="006119DD" w:rsidRPr="00011C57" w:rsidRDefault="006119DD" w:rsidP="006119DD">
      <w:pPr>
        <w:spacing w:after="0" w:line="240" w:lineRule="auto"/>
        <w:ind w:left="-709" w:firstLine="709"/>
        <w:rPr>
          <w:rStyle w:val="FontStyle49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75C93" w:rsidRPr="006119DD" w:rsidRDefault="00175C93" w:rsidP="006119DD">
      <w:pPr>
        <w:pStyle w:val="a3"/>
        <w:numPr>
          <w:ilvl w:val="1"/>
          <w:numId w:val="6"/>
        </w:numPr>
        <w:spacing w:after="0"/>
        <w:rPr>
          <w:b/>
        </w:rPr>
      </w:pPr>
      <w:r w:rsidRPr="006119DD">
        <w:rPr>
          <w:b/>
        </w:rPr>
        <w:t xml:space="preserve">Место дисциплины в структуре основной профессиональной образовательной программы </w:t>
      </w:r>
    </w:p>
    <w:p w:rsidR="006119DD" w:rsidRPr="006119DD" w:rsidRDefault="006119DD" w:rsidP="006119DD">
      <w:pPr>
        <w:spacing w:after="0"/>
        <w:rPr>
          <w:b/>
          <w:color w:val="000000" w:themeColor="text1"/>
        </w:rPr>
      </w:pPr>
    </w:p>
    <w:p w:rsidR="00175C93" w:rsidRDefault="00175C93" w:rsidP="0061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0D4C">
        <w:rPr>
          <w:rFonts w:ascii="Times New Roman" w:hAnsi="Times New Roman"/>
          <w:color w:val="000000" w:themeColor="text1"/>
          <w:sz w:val="24"/>
          <w:szCs w:val="24"/>
        </w:rPr>
        <w:t>Учебная дисциплина входит в профессиональный цикл как общепрофессиональная дисц</w:t>
      </w:r>
      <w:r w:rsidRPr="00760D4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60D4C">
        <w:rPr>
          <w:rFonts w:ascii="Times New Roman" w:hAnsi="Times New Roman"/>
          <w:color w:val="000000" w:themeColor="text1"/>
          <w:sz w:val="24"/>
          <w:szCs w:val="24"/>
        </w:rPr>
        <w:t>плина.</w:t>
      </w:r>
    </w:p>
    <w:p w:rsidR="006119DD" w:rsidRPr="00760D4C" w:rsidRDefault="006119DD" w:rsidP="0061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75C93" w:rsidRDefault="00175C93" w:rsidP="006119DD">
      <w:pPr>
        <w:pStyle w:val="Style19"/>
        <w:widowControl/>
        <w:ind w:left="-709" w:firstLine="709"/>
        <w:jc w:val="both"/>
        <w:rPr>
          <w:rFonts w:ascii="Times New Roman" w:hAnsi="Times New Roman" w:cs="Times New Roman"/>
          <w:b/>
        </w:rPr>
      </w:pPr>
      <w:r w:rsidRPr="00760D4C">
        <w:rPr>
          <w:rFonts w:ascii="Times New Roman" w:hAnsi="Times New Roman" w:cs="Times New Roman"/>
          <w:b/>
          <w:bCs/>
          <w:color w:val="000000" w:themeColor="text1"/>
        </w:rPr>
        <w:t xml:space="preserve">1.3. </w:t>
      </w:r>
      <w:r w:rsidRPr="00760D4C">
        <w:rPr>
          <w:rFonts w:ascii="Times New Roman" w:hAnsi="Times New Roman" w:cs="Times New Roman"/>
          <w:b/>
        </w:rPr>
        <w:t>Цель и пл</w:t>
      </w:r>
      <w:r>
        <w:rPr>
          <w:rFonts w:ascii="Times New Roman" w:hAnsi="Times New Roman" w:cs="Times New Roman"/>
          <w:b/>
        </w:rPr>
        <w:t xml:space="preserve">анируемые результаты   освоения </w:t>
      </w:r>
      <w:r w:rsidRPr="00760D4C">
        <w:rPr>
          <w:rFonts w:ascii="Times New Roman" w:hAnsi="Times New Roman" w:cs="Times New Roman"/>
          <w:b/>
        </w:rPr>
        <w:t>дисциплины</w:t>
      </w:r>
    </w:p>
    <w:p w:rsidR="006119DD" w:rsidRDefault="006119DD" w:rsidP="006119DD">
      <w:pPr>
        <w:pStyle w:val="Style19"/>
        <w:widowControl/>
        <w:ind w:left="-709" w:firstLine="709"/>
        <w:jc w:val="both"/>
        <w:rPr>
          <w:rFonts w:ascii="Times New Roman" w:hAnsi="Times New Roman" w:cs="Times New Roman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391"/>
      </w:tblGrid>
      <w:tr w:rsidR="00175C93" w:rsidRPr="006119DD" w:rsidTr="006119DD">
        <w:trPr>
          <w:trHeight w:val="649"/>
        </w:trPr>
        <w:tc>
          <w:tcPr>
            <w:tcW w:w="1129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261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391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970E3">
              <w:rPr>
                <w:rFonts w:ascii="Times New Roman" w:hAnsi="Times New Roman"/>
                <w:sz w:val="24"/>
                <w:szCs w:val="24"/>
              </w:rPr>
              <w:t>, ОК4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организовать и проводить мероприятия по защите р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а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ботающих и населения от негативных воздействий чрезвычайных ситуаций;</w:t>
            </w:r>
          </w:p>
          <w:p w:rsidR="00175C93" w:rsidRPr="007970E3" w:rsidRDefault="00175C93" w:rsidP="007970E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й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ных ситуациях и стихийных явлениях, в том чи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с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ле в условиях противодействия терроризму как серьезной угрозе на</w:t>
            </w:r>
            <w:r w:rsidR="007970E3">
              <w:rPr>
                <w:rFonts w:ascii="Times New Roman" w:hAnsi="Times New Roman"/>
                <w:sz w:val="24"/>
                <w:szCs w:val="24"/>
              </w:rPr>
              <w:t>циональной безопасности России;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предпринимать профила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к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тические меры для снижения уровня опасностей различн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го вида и их последствий в профессиональной деятел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ь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ности и быту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 в профессиональной деятельности и  быту, принципы снижения вероятности их реал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и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зации;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ОК8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использовать средства и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дивидуальной и коллекти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в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ной защиты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 xml:space="preserve"> от оружия ма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с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сового поражения;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</w:tc>
      </w:tr>
      <w:tr w:rsidR="00175C93" w:rsidRPr="00BA05B4" w:rsidTr="006119DD">
        <w:trPr>
          <w:trHeight w:val="331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применять первичные сре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д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ства пожаротушения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hanging="13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меры пожарной безопасности и правила безо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па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с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ности поведения при пожарах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ориентироваться в перечне военно-учётных специальн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стей и самостоятельно опр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е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делять  среди них родстве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ные полученной профессии</w:t>
            </w:r>
            <w:proofErr w:type="gramEnd"/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у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жении (оснащении) воинских подразделений, в которых имеются военно-учётные специальности, родственные профессиям СПО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970E3">
              <w:rPr>
                <w:rFonts w:ascii="Times New Roman" w:hAnsi="Times New Roman"/>
                <w:sz w:val="24"/>
                <w:szCs w:val="24"/>
              </w:rPr>
              <w:t>, ОК4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применять профессионал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ь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ные знания в ходе исполн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е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ния обязанностей военной службы на воинских дол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ж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ностях в соответствии с п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lastRenderedPageBreak/>
              <w:t>лученной профессией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и порядок призыва граждан на в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енную службу и поступления на неё в добровол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ь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ном порядке;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владеть способами беско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 xml:space="preserve">фликтного общения и </w:t>
            </w:r>
            <w:proofErr w:type="spellStart"/>
            <w:r w:rsidRPr="007970E3">
              <w:rPr>
                <w:rFonts w:ascii="Times New Roman" w:hAnsi="Times New Roman"/>
                <w:sz w:val="24"/>
                <w:szCs w:val="24"/>
              </w:rPr>
              <w:t>сам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регуляции</w:t>
            </w:r>
            <w:proofErr w:type="spellEnd"/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ь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ных условиях военной слу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ж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нальных знаний при исполнении обязанностей военной службы;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порядок и правила оказания первой помощи п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о</w:t>
            </w:r>
            <w:r w:rsidRPr="007970E3">
              <w:rPr>
                <w:rFonts w:ascii="Times New Roman" w:hAnsi="Times New Roman"/>
                <w:sz w:val="24"/>
                <w:szCs w:val="24"/>
              </w:rPr>
              <w:t>страдавшим</w:t>
            </w:r>
          </w:p>
        </w:tc>
      </w:tr>
    </w:tbl>
    <w:p w:rsidR="00175C93" w:rsidRPr="00760D4C" w:rsidRDefault="00175C93" w:rsidP="00175C93">
      <w:pPr>
        <w:pStyle w:val="Style19"/>
        <w:widowControl/>
        <w:spacing w:before="120" w:after="120"/>
        <w:jc w:val="both"/>
        <w:rPr>
          <w:rFonts w:ascii="Times New Roman" w:hAnsi="Times New Roman" w:cs="Times New Roman"/>
          <w:b/>
        </w:rPr>
      </w:pPr>
    </w:p>
    <w:p w:rsidR="00175C93" w:rsidRPr="006119DD" w:rsidRDefault="00175C93" w:rsidP="0079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9DD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7970E3" w:rsidRDefault="007970E3" w:rsidP="007970E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175C93" w:rsidRPr="006119DD" w:rsidRDefault="00175C93" w:rsidP="007970E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119D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175C93" w:rsidRDefault="00175C93" w:rsidP="007970E3">
      <w:pPr>
        <w:spacing w:after="0" w:line="240" w:lineRule="auto"/>
        <w:ind w:left="-567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175C93" w:rsidRDefault="006119DD" w:rsidP="0019673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68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Default="00175C93" w:rsidP="001967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  <w:hideMark/>
          </w:tcPr>
          <w:p w:rsidR="00175C93" w:rsidRDefault="00FE2C70" w:rsidP="0019673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68</w:t>
            </w:r>
          </w:p>
        </w:tc>
      </w:tr>
      <w:tr w:rsidR="00175C93" w:rsidTr="00196734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  <w:hideMark/>
          </w:tcPr>
          <w:p w:rsidR="00175C93" w:rsidRDefault="006119DD" w:rsidP="0019673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33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  <w:hideMark/>
          </w:tcPr>
          <w:p w:rsidR="00175C93" w:rsidRDefault="00175C93" w:rsidP="0019673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*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практические занятия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7" w:type="pct"/>
            <w:vAlign w:val="center"/>
            <w:hideMark/>
          </w:tcPr>
          <w:p w:rsidR="00175C93" w:rsidRDefault="006119DD" w:rsidP="0019673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35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927" w:type="pct"/>
            <w:vAlign w:val="center"/>
            <w:hideMark/>
          </w:tcPr>
          <w:p w:rsidR="00175C93" w:rsidRDefault="00175C93" w:rsidP="0019673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*</w:t>
            </w:r>
          </w:p>
        </w:tc>
      </w:tr>
      <w:tr w:rsidR="00175C93" w:rsidRPr="006119DD" w:rsidTr="00196734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175C93" w:rsidRPr="006119DD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6119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аттестация:  </w:t>
            </w:r>
            <w:r w:rsidR="006119DD" w:rsidRPr="006119DD">
              <w:rPr>
                <w:rFonts w:ascii="Times New Roman" w:hAnsi="Times New Roman"/>
                <w:iCs/>
                <w:sz w:val="24"/>
                <w:szCs w:val="24"/>
              </w:rPr>
              <w:t>в форме дифференцированного зачёта</w:t>
            </w:r>
            <w:r w:rsidRPr="006119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</w:p>
        </w:tc>
      </w:tr>
    </w:tbl>
    <w:p w:rsidR="00175C93" w:rsidRDefault="00175C93" w:rsidP="00175C93">
      <w:pPr>
        <w:ind w:left="-567"/>
        <w:rPr>
          <w:rFonts w:ascii="Times New Roman" w:hAnsi="Times New Roman"/>
          <w:b/>
        </w:rPr>
      </w:pPr>
    </w:p>
    <w:p w:rsidR="00175C93" w:rsidRDefault="00175C93" w:rsidP="00175C93">
      <w:pPr>
        <w:tabs>
          <w:tab w:val="left" w:pos="405"/>
        </w:tabs>
        <w:spacing w:after="4320"/>
        <w:rPr>
          <w:rFonts w:ascii="Times New Roman" w:hAnsi="Times New Roman"/>
          <w:sz w:val="24"/>
          <w:szCs w:val="24"/>
        </w:rPr>
        <w:sectPr w:rsidR="00175C93" w:rsidSect="006119DD">
          <w:footerReference w:type="default" r:id="rId8"/>
          <w:pgSz w:w="11906" w:h="16838"/>
          <w:pgMar w:top="1134" w:right="850" w:bottom="1134" w:left="1701" w:header="709" w:footer="0" w:gutter="0"/>
          <w:pgNumType w:start="1" w:chapStyle="1"/>
          <w:cols w:space="708"/>
          <w:titlePg/>
          <w:docGrid w:linePitch="360"/>
        </w:sectPr>
      </w:pPr>
    </w:p>
    <w:p w:rsidR="007970E3" w:rsidRPr="007970E3" w:rsidRDefault="00175C93" w:rsidP="007970E3">
      <w:pPr>
        <w:pStyle w:val="a3"/>
        <w:numPr>
          <w:ilvl w:val="1"/>
          <w:numId w:val="7"/>
        </w:numPr>
        <w:spacing w:after="0"/>
        <w:rPr>
          <w:b/>
        </w:rPr>
      </w:pPr>
      <w:r w:rsidRPr="007970E3">
        <w:rPr>
          <w:b/>
        </w:rPr>
        <w:lastRenderedPageBreak/>
        <w:t>Тематический план и содержание учебной дисциплины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541"/>
        <w:gridCol w:w="400"/>
        <w:gridCol w:w="8407"/>
        <w:gridCol w:w="992"/>
        <w:gridCol w:w="1417"/>
      </w:tblGrid>
      <w:tr w:rsidR="00272F8E" w:rsidRPr="00272F8E" w:rsidTr="002F488F">
        <w:trPr>
          <w:trHeight w:val="63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 работы и практические з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нятия, самостоятельная работа </w:t>
            </w:r>
            <w:proofErr w:type="gramStart"/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272F8E" w:rsidRPr="00272F8E" w:rsidTr="002F488F">
        <w:trPr>
          <w:trHeight w:val="209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72F8E" w:rsidRPr="00272F8E" w:rsidTr="002F488F">
        <w:trPr>
          <w:trHeight w:val="497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1. Организация мер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приятий по защите населения </w:t>
            </w:r>
            <w:proofErr w:type="gramStart"/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чрезвычайных</w:t>
            </w:r>
            <w:proofErr w:type="gramEnd"/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ситуаций мирного и военного времени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1.1. Организация защ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ты населения от негативных воздействий ЧС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91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Принципы обеспечения устойчивости объектов экономики.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223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Общие понятия об устойчивости объектов экономики в ЧС. Основные </w:t>
            </w:r>
            <w:proofErr w:type="gramStart"/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приятия</w:t>
            </w:r>
            <w:proofErr w:type="gramEnd"/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повышающие устойчивость. Защита рабочих и служащих.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Терроризм.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терроризма. Терроризм, как серьезная угроза национальной бе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опасности России.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Правила поведения населения при проведении контртеррористических операций.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116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Законодательная база. Права лиц проводящие контртеррористическую опер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цию.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113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1.2. Основные виды п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тенциальных опасностей в профессиональной деятельн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сти и быту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246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Потенциальные опасности в профессиональной деятельности и быту.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107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Источники опасностей. Потенциальные и реальные опасности.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112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Принципы снижения потенциальных опасностей.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527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опасностей технических систем. Производственный травматизм. Принципы снижения потенциальных опасностей,  их реализация.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1.3. Меры пожарной безопасности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Меры пожарной безопасности.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13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Законы и нормативно-правовые акты по противопожарной безопасности. С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блюдение правил пожарной безопасности. План эвакуации при пожаре. Де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ствия населения при пожаре. Устройство огнетушителей. Порядок применения первичных средств пожаротушения.</w:t>
            </w:r>
          </w:p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20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1.4. Организационные основы защиты населения от ЧС мирного и военного вр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мени</w:t>
            </w:r>
          </w:p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Задачи и структура РСЧС.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создания. Основные задачи. Структура. Режимы функционирования.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Гражданская оборона.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249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ГО в мирное и военное время. Планы действий в ЧС. План ГО учебного заведения. Планирование и организация аварийно-спасательных работ.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работа: выполнение домашних заданий по разделу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407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характеристика ЧС природного и техногенного характера, их классифик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ция. Прогнозирование чрезвычайных ситуаций. Чрезвычайные ситуации военного характера. Федеральные законы и другие нормативно-правовые акты РФ в области безопасности жизнедеятельности.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267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Основы военной службы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2.1. Основы обороны государства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Вооруженные силы РФ.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157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Военная организация Российской Федерации. Вооруженные силы России, их структура и предназначение. Виды и рода войск Вооруженных сил России.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2.2. Организация вои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ского учета и военная служба</w:t>
            </w:r>
          </w:p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Правовые основы военной службы.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Нормативно-правовая база. Воинская обязанность, ее основные составляющие.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Призыв граждан на военную службу.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411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порядок призыва граждан на военную службу. Организация м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дицинского обследования. Постановка на воинский учет. Ответственность за преступления против военной службы.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Применение профессиональных знаний при исполнении обязанностей в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енной службы.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133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воинской деятельности, предъявляемые к физическим, психолог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ческим и профессиональным качествам военнослужащего. Должностные и специальные обязанности.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виды вооружения и военной техники.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57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виды вооружения, военной техники и специального снаряжения, с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20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Военно-патриотическое воспитание молодежи.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435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Боевые традиции Вооруженных сил России. Патриотизм и верность воинскому долгу – основные качества защитника Отечества. Дружба, воинское товарищ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ство. Воинские символы и ритуалы.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работа: выполнение домашних заданий по разделу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Тематика внеаудиторной самостоятельной работы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175"/>
        </w:trPr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Воинская дисциплина, ее сущность и значение. Уголовная ответственность вое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нослужащих за преступления против военной службы.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3. Основы медици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ских знаний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3.1. Оказание первой медицинской помощи постр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давшим</w:t>
            </w:r>
          </w:p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Общие правила оказания первой помощи.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и виды медицинской помощи. Ознакомление с ситуациями, при кот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рых человек нуждается в оказании первой медицинской помощи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Порядок и правила оказания первой  помощи.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2F8E" w:rsidRPr="00272F8E" w:rsidTr="002F488F">
        <w:trPr>
          <w:trHeight w:val="278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правила оказания. Последовательность оказания первой помощи при ранениях, при кровотечениях, при переломах, при ожоге.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работа: выполнение домашних заданий по разделу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13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 человека и здоровый образ жизни. Вредные привычки и их профилакт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Учебные военные сборы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134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поведения, технике безопасности и порядке прохождения сборов. Обеспечение безопасности военной службы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передвижения на поле боя. Маскировка. Правила ведения боя.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154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281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 безопасности при стрельбе, правила ведения огня из автомата.  Ра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борка-сборка, чистка, смазка, хранение автомата, работа частей и механизмов.  Практическая стрельба</w:t>
            </w:r>
          </w:p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72F8E" w:rsidRPr="00272F8E" w:rsidTr="002F488F">
        <w:trPr>
          <w:trHeight w:val="136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Радиационная, химическая и биологическая защита</w:t>
            </w:r>
          </w:p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72F8E" w:rsidRPr="00272F8E" w:rsidTr="002F488F">
        <w:trPr>
          <w:trHeight w:val="131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Средства и способы индивидуальной защиты, преодоление зараженного участка местности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Общевоинские уставы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131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Изучение нормативных документов, Общевоинских уставов ВС РФ.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Одиночная строевая подготовка, строевые приемы без оружия.  Передвижение строем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14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Военно-медицинская подг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первой помощи при ранениях, травмах, вынос раненых с поля боя.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14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Бег, гимнастика, военно-прикладные виды спорта.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2F8E" w:rsidRPr="00272F8E" w:rsidTr="002F488F">
        <w:trPr>
          <w:trHeight w:val="80"/>
        </w:trPr>
        <w:tc>
          <w:tcPr>
            <w:tcW w:w="1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72F8E" w:rsidRPr="00272F8E" w:rsidTr="002F488F">
        <w:trPr>
          <w:trHeight w:val="80"/>
        </w:trPr>
        <w:tc>
          <w:tcPr>
            <w:tcW w:w="1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E" w:rsidRPr="00272F8E" w:rsidRDefault="00272F8E" w:rsidP="00272F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E" w:rsidRPr="00272F8E" w:rsidRDefault="00272F8E" w:rsidP="00272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72F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Pr="00196734" w:rsidRDefault="00196734" w:rsidP="00196734">
      <w:pPr>
        <w:spacing w:after="0" w:line="240" w:lineRule="auto"/>
        <w:rPr>
          <w:b/>
        </w:rPr>
      </w:pPr>
    </w:p>
    <w:p w:rsidR="00175C93" w:rsidRDefault="00175C93" w:rsidP="00175C93">
      <w:pPr>
        <w:pStyle w:val="1"/>
        <w:spacing w:after="0"/>
        <w:ind w:left="360"/>
        <w:rPr>
          <w:rFonts w:ascii="Times New Roman" w:hAnsi="Times New Roman"/>
          <w:b w:val="0"/>
          <w:sz w:val="24"/>
          <w:szCs w:val="24"/>
        </w:rPr>
        <w:sectPr w:rsidR="00175C93" w:rsidSect="007970E3">
          <w:pgSz w:w="16838" w:h="11906" w:orient="landscape"/>
          <w:pgMar w:top="1418" w:right="567" w:bottom="567" w:left="567" w:header="709" w:footer="0" w:gutter="0"/>
          <w:pgNumType w:start="5" w:chapStyle="1"/>
          <w:cols w:space="708"/>
          <w:docGrid w:linePitch="360"/>
        </w:sectPr>
      </w:pPr>
    </w:p>
    <w:p w:rsidR="00175C93" w:rsidRPr="007970E3" w:rsidRDefault="00175C93" w:rsidP="007970E3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7970E3">
        <w:rPr>
          <w:rFonts w:ascii="Times New Roman" w:hAnsi="Times New Roman"/>
          <w:sz w:val="28"/>
          <w:szCs w:val="28"/>
        </w:rPr>
        <w:lastRenderedPageBreak/>
        <w:t>УСЛОВИЯ РЕАЛИЗАЦИИ ПРОГРАММЫ УЧЕБНОЙ ДИСЦ</w:t>
      </w:r>
      <w:r w:rsidRPr="007970E3">
        <w:rPr>
          <w:rFonts w:ascii="Times New Roman" w:hAnsi="Times New Roman"/>
          <w:sz w:val="28"/>
          <w:szCs w:val="28"/>
        </w:rPr>
        <w:t>И</w:t>
      </w:r>
      <w:r w:rsidRPr="007970E3">
        <w:rPr>
          <w:rFonts w:ascii="Times New Roman" w:hAnsi="Times New Roman"/>
          <w:sz w:val="28"/>
          <w:szCs w:val="28"/>
        </w:rPr>
        <w:t>ПЛИНЫ</w:t>
      </w:r>
    </w:p>
    <w:p w:rsidR="00175C93" w:rsidRPr="0076095A" w:rsidRDefault="00175C93" w:rsidP="00175C93">
      <w:pPr>
        <w:pStyle w:val="Style24"/>
        <w:widowControl/>
        <w:spacing w:line="240" w:lineRule="exact"/>
        <w:rPr>
          <w:rFonts w:ascii="Times New Roman" w:hAnsi="Times New Roman" w:cs="Times New Roman"/>
        </w:rPr>
      </w:pPr>
    </w:p>
    <w:p w:rsidR="00175C93" w:rsidRPr="00613F33" w:rsidRDefault="00175C93" w:rsidP="00F6760D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/>
          <w:bCs/>
        </w:rPr>
        <w:t>3.1</w:t>
      </w:r>
      <w:r w:rsidRPr="00697970">
        <w:rPr>
          <w:bCs/>
        </w:rPr>
        <w:t xml:space="preserve">. Для реализации программы учебной дисциплины </w:t>
      </w:r>
      <w:r w:rsidR="00F6760D">
        <w:rPr>
          <w:bCs/>
        </w:rPr>
        <w:t>предусмотрен</w:t>
      </w:r>
      <w:r w:rsidRPr="00697970">
        <w:rPr>
          <w:bCs/>
        </w:rPr>
        <w:t xml:space="preserve"> </w:t>
      </w:r>
      <w:r w:rsidR="00F6760D">
        <w:rPr>
          <w:bCs/>
        </w:rPr>
        <w:t>к</w:t>
      </w:r>
      <w:r w:rsidRPr="00697970">
        <w:rPr>
          <w:bCs/>
        </w:rPr>
        <w:t>абинет</w:t>
      </w:r>
      <w:r w:rsidRPr="00697970">
        <w:rPr>
          <w:bCs/>
          <w:i/>
        </w:rPr>
        <w:t xml:space="preserve"> </w:t>
      </w:r>
      <w:r w:rsidRPr="00613F33">
        <w:rPr>
          <w:bCs/>
        </w:rPr>
        <w:t>«</w:t>
      </w:r>
      <w:r>
        <w:rPr>
          <w:bCs/>
        </w:rPr>
        <w:t>Безопасности жизнедеятельности</w:t>
      </w:r>
      <w:r w:rsidRPr="00613F33">
        <w:rPr>
          <w:bCs/>
        </w:rPr>
        <w:t xml:space="preserve">», оснащенный оборудованием: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>
        <w:rPr>
          <w:bCs/>
        </w:rPr>
        <w:t xml:space="preserve">- </w:t>
      </w:r>
      <w:r w:rsidRPr="007818B3">
        <w:rPr>
          <w:bCs/>
        </w:rPr>
        <w:t>рабочее место преподавателя;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 xml:space="preserve">- рабочие места по количеству </w:t>
      </w:r>
      <w:proofErr w:type="gramStart"/>
      <w:r w:rsidRPr="007818B3">
        <w:rPr>
          <w:bCs/>
        </w:rPr>
        <w:t>обучающихся</w:t>
      </w:r>
      <w:proofErr w:type="gramEnd"/>
      <w:r w:rsidRPr="007818B3">
        <w:rPr>
          <w:bCs/>
        </w:rPr>
        <w:t>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 xml:space="preserve">- комплект учебно-наглядных пособий: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плакаты и таблицы по безопасности жизнедеятельности;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плакаты по противодействию терроризму;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гражданский противогаз ГП-5;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макет автомата Калашникова;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комплект противопожарных средств.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Технические средства обучения: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компьютер с лицензионным программным обеспечением;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7818B3">
        <w:rPr>
          <w:bCs/>
        </w:rPr>
        <w:t xml:space="preserve">- средства </w:t>
      </w:r>
      <w:proofErr w:type="spellStart"/>
      <w:r w:rsidRPr="007818B3">
        <w:rPr>
          <w:bCs/>
        </w:rPr>
        <w:t>аудиовизуализации</w:t>
      </w:r>
      <w:proofErr w:type="spellEnd"/>
      <w:r w:rsidRPr="007818B3">
        <w:rPr>
          <w:bCs/>
        </w:rPr>
        <w:t>.</w:t>
      </w:r>
    </w:p>
    <w:p w:rsidR="00175C93" w:rsidRPr="00613F33" w:rsidRDefault="00175C93" w:rsidP="007970E3">
      <w:pPr>
        <w:pStyle w:val="a3"/>
        <w:suppressAutoHyphens/>
        <w:spacing w:before="0" w:after="0"/>
        <w:ind w:left="0" w:firstLine="851"/>
        <w:rPr>
          <w:b/>
          <w:bCs/>
        </w:rPr>
      </w:pPr>
      <w:r w:rsidRPr="00613F33">
        <w:rPr>
          <w:b/>
          <w:bCs/>
        </w:rPr>
        <w:t>3.2. Информационное обеспечение реализации программы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613F33">
        <w:rPr>
          <w:bCs/>
        </w:rPr>
        <w:t>Для реализации программы библиотечный фонд образовательной организации име</w:t>
      </w:r>
      <w:r w:rsidR="00F6760D">
        <w:rPr>
          <w:bCs/>
        </w:rPr>
        <w:t>ет</w:t>
      </w:r>
      <w:r w:rsidRPr="00613F33">
        <w:rPr>
          <w:bCs/>
        </w:rPr>
        <w:t xml:space="preserve">  печатные и электронные образовательные и информационные ресурсы, рекомендуемы</w:t>
      </w:r>
      <w:r w:rsidR="00F6760D">
        <w:rPr>
          <w:bCs/>
        </w:rPr>
        <w:t xml:space="preserve">е </w:t>
      </w:r>
      <w:r w:rsidRPr="00613F33">
        <w:rPr>
          <w:bCs/>
        </w:rPr>
        <w:t>для использования в образовательном процессе</w:t>
      </w:r>
    </w:p>
    <w:p w:rsidR="00175C93" w:rsidRPr="00F6760D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F6760D">
        <w:rPr>
          <w:b/>
          <w:bCs/>
        </w:rPr>
        <w:t>3.2.1. Печатные издания</w:t>
      </w:r>
    </w:p>
    <w:p w:rsidR="00175C93" w:rsidRPr="0056390F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</w:rPr>
      </w:pPr>
      <w:r w:rsidRPr="0056390F">
        <w:rPr>
          <w:b/>
        </w:rPr>
        <w:t>Основная литература: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 Основы безопасности жизнедеятельности: учебник для сред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п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>роф. образования. М., 2012. — 320 с.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Побежимова Е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Л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</w:t>
      </w:r>
      <w:r w:rsidRPr="00F6760D">
        <w:rPr>
          <w:rFonts w:ascii="Times New Roman" w:eastAsia="Arial" w:hAnsi="Times New Roman"/>
          <w:sz w:val="24"/>
          <w:szCs w:val="24"/>
        </w:rPr>
        <w:t>я</w:t>
      </w:r>
      <w:r w:rsidRPr="00F6760D">
        <w:rPr>
          <w:rFonts w:ascii="Times New Roman" w:eastAsia="Arial" w:hAnsi="Times New Roman"/>
          <w:sz w:val="24"/>
          <w:szCs w:val="24"/>
        </w:rPr>
        <w:t>тельности: учебник для учреждений сред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п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>роф. образования. М., 2015. — 288 с.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Побежимова Е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Л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</w:t>
      </w:r>
      <w:r w:rsidRPr="00F6760D">
        <w:rPr>
          <w:rFonts w:ascii="Times New Roman" w:eastAsia="Arial" w:hAnsi="Times New Roman"/>
          <w:sz w:val="24"/>
          <w:szCs w:val="24"/>
        </w:rPr>
        <w:t>я</w:t>
      </w:r>
      <w:r w:rsidRPr="00F6760D">
        <w:rPr>
          <w:rFonts w:ascii="Times New Roman" w:eastAsia="Arial" w:hAnsi="Times New Roman"/>
          <w:sz w:val="24"/>
          <w:szCs w:val="24"/>
        </w:rPr>
        <w:t>тельности. Практикум: учеб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п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>особие для учреждений сред. проф. образования. М., 2015. — 144 с.</w:t>
      </w:r>
    </w:p>
    <w:p w:rsidR="00175C93" w:rsidRPr="0056390F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</w:rPr>
      </w:pPr>
      <w:r w:rsidRPr="0056390F">
        <w:rPr>
          <w:b/>
        </w:rPr>
        <w:t>Дополнительная литература: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Общевойсковые Уставы Вооруженных Сил Российской Федерации, Закон Российской Федерации «О воинской обязанности и военной службе», Закон Российской Федерации «О Гражданской обороне», Закон Российской Федерации «О защите населения и территории от чрезвычайных ситуаций природного и техногенного характера».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eastAsia="Arial" w:hAnsi="Times New Roman"/>
          <w:sz w:val="24"/>
          <w:szCs w:val="24"/>
        </w:rPr>
      </w:pPr>
      <w:proofErr w:type="spellStart"/>
      <w:r w:rsidRPr="00F6760D">
        <w:rPr>
          <w:rFonts w:ascii="Times New Roman" w:eastAsia="Arial" w:hAnsi="Times New Roman"/>
          <w:i/>
          <w:iCs/>
          <w:sz w:val="24"/>
          <w:szCs w:val="24"/>
        </w:rPr>
        <w:t>Арустамов</w:t>
      </w:r>
      <w:proofErr w:type="spellEnd"/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Э.А., 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 Основы безопасности жизн</w:t>
      </w:r>
      <w:r w:rsidRPr="00F6760D">
        <w:rPr>
          <w:rFonts w:ascii="Times New Roman" w:eastAsia="Arial" w:hAnsi="Times New Roman"/>
          <w:sz w:val="24"/>
          <w:szCs w:val="24"/>
        </w:rPr>
        <w:t>е</w:t>
      </w:r>
      <w:r w:rsidRPr="00F6760D">
        <w:rPr>
          <w:rFonts w:ascii="Times New Roman" w:eastAsia="Arial" w:hAnsi="Times New Roman"/>
          <w:sz w:val="24"/>
          <w:szCs w:val="24"/>
        </w:rPr>
        <w:t>деятельности: учебник для студ. сред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п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>роф. учеб. заведений. — М., 2009. — 176 с.</w:t>
      </w:r>
    </w:p>
    <w:p w:rsidR="00F6760D" w:rsidRPr="00F6760D" w:rsidRDefault="00F6760D" w:rsidP="00F6760D">
      <w:pPr>
        <w:spacing w:after="0" w:line="240" w:lineRule="auto"/>
        <w:ind w:right="-60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>Основы военной службы:</w:t>
      </w:r>
      <w:r w:rsidRPr="00F6760D">
        <w:rPr>
          <w:rFonts w:ascii="Times New Roman" w:eastAsia="Arial" w:hAnsi="Times New Roman"/>
          <w:sz w:val="24"/>
          <w:szCs w:val="24"/>
        </w:rPr>
        <w:t xml:space="preserve"> учеб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п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>особие для учреждений сред. проф. образования. М., 2004. — 240 с.</w:t>
      </w:r>
    </w:p>
    <w:p w:rsidR="00F6760D" w:rsidRPr="00F6760D" w:rsidRDefault="00F6760D" w:rsidP="00F6760D">
      <w:pPr>
        <w:spacing w:after="0" w:line="240" w:lineRule="auto"/>
        <w:ind w:right="82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 xml:space="preserve">Основы безопасности </w:t>
      </w:r>
      <w:proofErr w:type="spellStart"/>
      <w:r w:rsidRPr="00F6760D">
        <w:rPr>
          <w:rFonts w:ascii="Times New Roman" w:eastAsia="Arial" w:hAnsi="Times New Roman"/>
          <w:iCs/>
          <w:sz w:val="24"/>
          <w:szCs w:val="24"/>
        </w:rPr>
        <w:t>жизндеятельности</w:t>
      </w:r>
      <w:proofErr w:type="spellEnd"/>
      <w:r w:rsidRPr="00F6760D">
        <w:rPr>
          <w:rFonts w:ascii="Times New Roman" w:eastAsia="Arial" w:hAnsi="Times New Roman"/>
          <w:iCs/>
          <w:sz w:val="24"/>
          <w:szCs w:val="24"/>
        </w:rPr>
        <w:t>:</w:t>
      </w:r>
      <w:r w:rsidRPr="00F6760D">
        <w:rPr>
          <w:rFonts w:ascii="Times New Roman" w:eastAsia="Arial" w:hAnsi="Times New Roman"/>
          <w:sz w:val="24"/>
          <w:szCs w:val="24"/>
        </w:rPr>
        <w:t xml:space="preserve"> 10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кл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.: учеб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д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ля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общеобразават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 учреждений. М., 2008. — 223 с.</w:t>
      </w:r>
    </w:p>
    <w:p w:rsidR="00F6760D" w:rsidRPr="00F6760D" w:rsidRDefault="00F6760D" w:rsidP="00F6760D">
      <w:pPr>
        <w:spacing w:after="0" w:line="240" w:lineRule="auto"/>
        <w:ind w:right="82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 xml:space="preserve">Основы безопасности </w:t>
      </w:r>
      <w:proofErr w:type="spellStart"/>
      <w:r w:rsidRPr="00F6760D">
        <w:rPr>
          <w:rFonts w:ascii="Times New Roman" w:eastAsia="Arial" w:hAnsi="Times New Roman"/>
          <w:iCs/>
          <w:sz w:val="24"/>
          <w:szCs w:val="24"/>
        </w:rPr>
        <w:t>жизндеятельности</w:t>
      </w:r>
      <w:proofErr w:type="spellEnd"/>
      <w:r w:rsidRPr="00F6760D">
        <w:rPr>
          <w:rFonts w:ascii="Times New Roman" w:eastAsia="Arial" w:hAnsi="Times New Roman"/>
          <w:iCs/>
          <w:sz w:val="24"/>
          <w:szCs w:val="24"/>
        </w:rPr>
        <w:t>:</w:t>
      </w:r>
      <w:r w:rsidRPr="00F6760D">
        <w:rPr>
          <w:rFonts w:ascii="Times New Roman" w:eastAsia="Arial" w:hAnsi="Times New Roman"/>
          <w:sz w:val="24"/>
          <w:szCs w:val="24"/>
        </w:rPr>
        <w:t xml:space="preserve"> 11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кл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.: учеб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.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F6760D">
        <w:rPr>
          <w:rFonts w:ascii="Times New Roman" w:eastAsia="Arial" w:hAnsi="Times New Roman"/>
          <w:sz w:val="24"/>
          <w:szCs w:val="24"/>
        </w:rPr>
        <w:t>д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ля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общеобразават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 учреждений. М., 2008. — 176 с.</w:t>
      </w:r>
    </w:p>
    <w:p w:rsidR="00F6760D" w:rsidRPr="00F6760D" w:rsidRDefault="00F6760D" w:rsidP="00F6760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Ястребов Г.С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жизнедеятельности и медицина катастроф: учебное пособие — Изд. 7-е, — Феникс, 2012. — 397 с.</w:t>
      </w:r>
    </w:p>
    <w:p w:rsidR="00175C93" w:rsidRPr="00F6760D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F6760D">
        <w:rPr>
          <w:b/>
          <w:bCs/>
        </w:rPr>
        <w:t xml:space="preserve">3.2.2. Электронные издания (электронные ресурсы) </w:t>
      </w:r>
    </w:p>
    <w:p w:rsidR="0056390F" w:rsidRPr="00F6760D" w:rsidRDefault="00175C93" w:rsidP="0056390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7818B3">
        <w:t xml:space="preserve">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Шуленина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Н.С.,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Ширшова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В.М.</w:t>
      </w:r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Основы безопасности жизнеде</w:t>
      </w:r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я</w:t>
      </w:r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тельности [Электронный ресурс] : учебное пособие — Электрон</w:t>
      </w:r>
      <w:proofErr w:type="gramStart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Новосибирск: Сибирское университетское издательство, 2017. — 247 c.</w:t>
      </w:r>
    </w:p>
    <w:p w:rsidR="0056390F" w:rsidRPr="00F6760D" w:rsidRDefault="0056390F" w:rsidP="005639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6760D">
        <w:rPr>
          <w:rFonts w:ascii="Times New Roman" w:hAnsi="Times New Roman"/>
          <w:i/>
          <w:color w:val="000000"/>
          <w:sz w:val="24"/>
          <w:szCs w:val="24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Р.И.,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Л.К.,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Балиоз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Н.В., Белоглазова С.В., Волобуева Н.А.,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Добар</w:t>
      </w:r>
      <w:r w:rsidRPr="00F6760D"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F6760D">
        <w:rPr>
          <w:rFonts w:ascii="Times New Roman" w:hAnsi="Times New Roman"/>
          <w:i/>
          <w:color w:val="000000"/>
          <w:sz w:val="24"/>
          <w:szCs w:val="24"/>
        </w:rPr>
        <w:t>на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И.А., Жигарев О.Л.,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Ивочкин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А.М.,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Косованова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Л.В., Кривощеков С.Г., Мельникова М.М.,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Мозолевская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Н.В., Омельченко И.В., Гиренко Л.А.,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Слинькова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И.П.,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Ширшова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В.М.,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lastRenderedPageBreak/>
        <w:t>Шуленина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Н.С.,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Абаскалова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Н.П.</w:t>
      </w:r>
      <w:r w:rsidRPr="00F676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Основы безопасности жизнедеятельности и первой м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дицинской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помощи [Электронный ресурс] : учебное пособие  — Электрон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Новосибирск: Сибирское университетское издательство, 2017. — 463 c.</w:t>
      </w:r>
    </w:p>
    <w:p w:rsidR="0056390F" w:rsidRPr="00F6760D" w:rsidRDefault="0056390F" w:rsidP="0056390F">
      <w:pPr>
        <w:spacing w:after="0" w:line="240" w:lineRule="auto"/>
        <w:ind w:firstLine="851"/>
        <w:rPr>
          <w:rFonts w:ascii="Times New Roman" w:eastAsia="Arial" w:hAnsi="Times New Roman"/>
          <w:i/>
          <w:iCs/>
          <w:sz w:val="24"/>
          <w:szCs w:val="24"/>
        </w:rPr>
      </w:pP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Рубанович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В.Б.,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Суботялов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М.А. 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Основы медицинских знаний и зд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рового образа жизни [Электронный ресурс] : учебное пособие — Электрон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Новосибирск: Сибирское университетское издательство, 2017. — 214 c.</w:t>
      </w:r>
    </w:p>
    <w:p w:rsidR="00175C93" w:rsidRPr="007818B3" w:rsidRDefault="0056390F" w:rsidP="0056390F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 </w:t>
      </w:r>
      <w:r w:rsidR="00175C93" w:rsidRPr="007818B3">
        <w:t xml:space="preserve">«Безопасность жизнедеятельности»  http://www. twirpx.com › </w:t>
      </w:r>
      <w:proofErr w:type="spellStart"/>
      <w:r w:rsidR="00175C93" w:rsidRPr="007818B3">
        <w:t>file</w:t>
      </w:r>
      <w:proofErr w:type="spellEnd"/>
      <w:r w:rsidR="00175C93" w:rsidRPr="007818B3">
        <w:t>/255414/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Информация по обеспечению личной, национальной и глобальной безопасности. Нормативные документы, теория БЖ, наука, психология, методика, культура БЖ, электронная библиотека по БЖ bezopasnost.edu66.ru;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Информационно-образовательный портал по безопасности жизнедеятельности bgd.udsu.ru;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Журнал "Безопасность жизнедеятельности"  novtex.ru/</w:t>
      </w:r>
      <w:proofErr w:type="spellStart"/>
      <w:r w:rsidRPr="007818B3">
        <w:t>bjd</w:t>
      </w:r>
      <w:proofErr w:type="spellEnd"/>
      <w:r w:rsidRPr="007818B3">
        <w:t xml:space="preserve">;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Образовательный портал  obzh.ru; 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Информационно-методическое издание для  преподавателей  school-obz.org. </w:t>
      </w: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175C93" w:rsidRPr="00F6760D" w:rsidRDefault="00175C93" w:rsidP="00F6760D">
      <w:pPr>
        <w:tabs>
          <w:tab w:val="left" w:pos="4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60D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977"/>
        <w:gridCol w:w="2665"/>
      </w:tblGrid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организовать и проводить меропри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тия по защите работающих и насел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ния от негативных воздействий чре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вычайных ситуаций 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Составлять план меропр</w:t>
            </w: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ятий по защите населения при возникновении ЧС</w:t>
            </w:r>
          </w:p>
        </w:tc>
        <w:tc>
          <w:tcPr>
            <w:tcW w:w="2665" w:type="dxa"/>
            <w:vMerge w:val="restart"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</w:t>
            </w:r>
            <w:r w:rsidRPr="00240E5E">
              <w:rPr>
                <w:rStyle w:val="FontStyle54"/>
                <w:sz w:val="24"/>
                <w:szCs w:val="24"/>
              </w:rPr>
              <w:t>е</w:t>
            </w:r>
            <w:r w:rsidRPr="00240E5E">
              <w:rPr>
                <w:rStyle w:val="FontStyle54"/>
                <w:sz w:val="24"/>
                <w:szCs w:val="24"/>
              </w:rPr>
              <w:t>зультатов деятельности обучающегося при в</w:t>
            </w:r>
            <w:r w:rsidRPr="00240E5E">
              <w:rPr>
                <w:rStyle w:val="FontStyle54"/>
                <w:sz w:val="24"/>
                <w:szCs w:val="24"/>
              </w:rPr>
              <w:t>ы</w:t>
            </w:r>
            <w:r w:rsidRPr="00240E5E">
              <w:rPr>
                <w:rStyle w:val="FontStyle54"/>
                <w:sz w:val="24"/>
                <w:szCs w:val="24"/>
              </w:rPr>
              <w:t>полнении и защите р</w:t>
            </w:r>
            <w:r w:rsidRPr="00240E5E">
              <w:rPr>
                <w:rStyle w:val="FontStyle54"/>
                <w:sz w:val="24"/>
                <w:szCs w:val="24"/>
              </w:rPr>
              <w:t>е</w:t>
            </w:r>
            <w:r w:rsidRPr="00240E5E">
              <w:rPr>
                <w:rStyle w:val="FontStyle54"/>
                <w:sz w:val="24"/>
                <w:szCs w:val="24"/>
              </w:rPr>
              <w:t>зультатов практич</w:t>
            </w:r>
            <w:r w:rsidRPr="00240E5E">
              <w:rPr>
                <w:rStyle w:val="FontStyle54"/>
                <w:sz w:val="24"/>
                <w:szCs w:val="24"/>
              </w:rPr>
              <w:t>е</w:t>
            </w:r>
            <w:r w:rsidRPr="00240E5E">
              <w:rPr>
                <w:rStyle w:val="FontStyle54"/>
                <w:sz w:val="24"/>
                <w:szCs w:val="24"/>
              </w:rPr>
              <w:t>ских занятий, выполне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</w:t>
            </w:r>
            <w:r w:rsidRPr="00240E5E">
              <w:rPr>
                <w:rStyle w:val="FontStyle54"/>
                <w:sz w:val="24"/>
                <w:szCs w:val="24"/>
              </w:rPr>
              <w:t>н</w:t>
            </w:r>
            <w:r w:rsidRPr="00240E5E">
              <w:rPr>
                <w:rStyle w:val="FontStyle54"/>
                <w:sz w:val="24"/>
                <w:szCs w:val="24"/>
              </w:rPr>
              <w:t>трольных работ и др</w:t>
            </w:r>
            <w:r w:rsidRPr="00240E5E">
              <w:rPr>
                <w:rStyle w:val="FontStyle54"/>
                <w:sz w:val="24"/>
                <w:szCs w:val="24"/>
              </w:rPr>
              <w:t>у</w:t>
            </w:r>
            <w:r w:rsidRPr="00240E5E">
              <w:rPr>
                <w:rStyle w:val="FontStyle54"/>
                <w:sz w:val="24"/>
                <w:szCs w:val="24"/>
              </w:rPr>
              <w:t>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предпринимать профилактические меры для снижения уровня опасн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стей различного вида и их после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ствий в профессиональной деятельн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сти и быту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Правильность применения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 для снижения уровня опасностей различного вида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ной и коллективной защиты от оружия массового поражения;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Правильное 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использов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ние средств индивидуал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ной и коллективной защ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применять первичные средства пож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ротушения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пользоваться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первичными средствами пожаротушения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0E5E">
              <w:rPr>
                <w:rFonts w:ascii="Times New Roman" w:hAnsi="Times New Roman"/>
                <w:sz w:val="24"/>
                <w:szCs w:val="24"/>
              </w:rPr>
              <w:t>ориентироваться в перечне военно-учётных специальностей и самосто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тельно определять  среди них ро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ственные полученной профессии</w:t>
            </w:r>
            <w:proofErr w:type="gramEnd"/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находить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речне военно-учётных специальностей </w:t>
            </w:r>
            <w:proofErr w:type="gramStart"/>
            <w:r w:rsidRPr="00240E5E">
              <w:rPr>
                <w:rFonts w:ascii="Times New Roman" w:hAnsi="Times New Roman"/>
                <w:sz w:val="24"/>
                <w:szCs w:val="24"/>
              </w:rPr>
              <w:t>нужные</w:t>
            </w:r>
            <w:proofErr w:type="gramEnd"/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ВУС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енной службы на воинских должн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стях в соответствии с полученной профессией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 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занностей военной слу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ж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240E5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повс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дневной деятельности и экстремал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ных условиях военной службы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способы бе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конфликтного общения и </w:t>
            </w:r>
            <w:proofErr w:type="spellStart"/>
            <w:r w:rsidRPr="00240E5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повс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дневной деятельности 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давшим 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правильно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зывать первую помощь пострадавшим</w:t>
            </w:r>
          </w:p>
        </w:tc>
        <w:tc>
          <w:tcPr>
            <w:tcW w:w="2665" w:type="dxa"/>
            <w:vMerge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ствий при техногенных чрезвычайных ситуациях и стихийных явлениях, в том числе в условиях противоде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й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ствия терроризму как серьезной угр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зе национальной безопасности России;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использовать способы борьбы с терр</w:t>
            </w: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ризмом</w:t>
            </w:r>
          </w:p>
        </w:tc>
        <w:tc>
          <w:tcPr>
            <w:tcW w:w="2665" w:type="dxa"/>
            <w:vMerge w:val="restart"/>
          </w:tcPr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</w:t>
            </w:r>
            <w:r w:rsidRPr="00240E5E">
              <w:rPr>
                <w:rStyle w:val="FontStyle54"/>
                <w:sz w:val="24"/>
                <w:szCs w:val="24"/>
              </w:rPr>
              <w:t>е</w:t>
            </w:r>
            <w:r w:rsidRPr="00240E5E">
              <w:rPr>
                <w:rStyle w:val="FontStyle54"/>
                <w:sz w:val="24"/>
                <w:szCs w:val="24"/>
              </w:rPr>
              <w:t>зультатов деятельности обучающегося при в</w:t>
            </w:r>
            <w:r w:rsidRPr="00240E5E">
              <w:rPr>
                <w:rStyle w:val="FontStyle54"/>
                <w:sz w:val="24"/>
                <w:szCs w:val="24"/>
              </w:rPr>
              <w:t>ы</w:t>
            </w:r>
            <w:r w:rsidRPr="00240E5E">
              <w:rPr>
                <w:rStyle w:val="FontStyle54"/>
                <w:sz w:val="24"/>
                <w:szCs w:val="24"/>
              </w:rPr>
              <w:t>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контрольных работ и других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 в пр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фессиональной деятельности и  быту, принципы снижения вероятности их реализации;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Определять в быту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в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ные виды потенциальных опасностей и их после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5E" w:rsidRPr="00240E5E" w:rsidTr="00C63CA7">
        <w:tc>
          <w:tcPr>
            <w:tcW w:w="4216" w:type="dxa"/>
          </w:tcPr>
          <w:p w:rsidR="00240E5E" w:rsidRPr="00240E5E" w:rsidRDefault="00240E5E" w:rsidP="00C63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240E5E" w:rsidRPr="00240E5E" w:rsidRDefault="00240E5E" w:rsidP="00C63C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0E5E" w:rsidRPr="00240E5E" w:rsidRDefault="00240E5E" w:rsidP="00C63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обороны,</w:t>
            </w:r>
          </w:p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способы защиты населения от ор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у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жия массового поражения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способы защ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ты населения от оружия массового поражения</w:t>
            </w:r>
          </w:p>
        </w:tc>
        <w:tc>
          <w:tcPr>
            <w:tcW w:w="2665" w:type="dxa"/>
            <w:vMerge w:val="restart"/>
          </w:tcPr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Pr="00240E5E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</w:t>
            </w:r>
            <w:r w:rsidRPr="00240E5E">
              <w:rPr>
                <w:rStyle w:val="FontStyle54"/>
                <w:sz w:val="24"/>
                <w:szCs w:val="24"/>
              </w:rPr>
              <w:t>е</w:t>
            </w:r>
            <w:r w:rsidRPr="00240E5E">
              <w:rPr>
                <w:rStyle w:val="FontStyle54"/>
                <w:sz w:val="24"/>
                <w:szCs w:val="24"/>
              </w:rPr>
              <w:t>зультатов деятельности обучающегося при в</w:t>
            </w:r>
            <w:r w:rsidRPr="00240E5E">
              <w:rPr>
                <w:rStyle w:val="FontStyle54"/>
                <w:sz w:val="24"/>
                <w:szCs w:val="24"/>
              </w:rPr>
              <w:t>ы</w:t>
            </w:r>
            <w:r w:rsidRPr="00240E5E">
              <w:rPr>
                <w:rStyle w:val="FontStyle54"/>
                <w:sz w:val="24"/>
                <w:szCs w:val="24"/>
              </w:rPr>
              <w:t>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контрольных работ и других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hanging="13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меры пожарной безопасности и прав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ла безопасности поведения при пож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рах;</w:t>
            </w:r>
          </w:p>
          <w:p w:rsidR="00175C93" w:rsidRPr="00240E5E" w:rsidRDefault="00175C93" w:rsidP="00240E5E">
            <w:pPr>
              <w:spacing w:after="0" w:line="240" w:lineRule="auto"/>
              <w:ind w:firstLine="9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точно выполнять правила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безопасности п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ведения при пожарах</w:t>
            </w:r>
          </w:p>
        </w:tc>
        <w:tc>
          <w:tcPr>
            <w:tcW w:w="2665" w:type="dxa"/>
            <w:vMerge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нии) воинских подразделений, в кот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рых имеются военно-учётные спец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альности, родственные профессиям СПО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распознавать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основные виды вооруж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ния, военной техники и специального снаряжения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п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ления на неё в добровольном порядке;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Не уклоняться от службы в армии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л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нении обязанностей военной службы;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Оценивать возможность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применения получаемых профессиональных знаний при исполнении обязанн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стей военной службы;</w:t>
            </w:r>
          </w:p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порядок и правила оказания первой помощи пострадавшим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правильно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зывать первую помощь пострадавшим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ствий при техногенных чрезвычайных ситуациях и стихийных явлениях, в том числе в условиях противоде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й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ствия терроризму как серьезной угр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зе национальной безопасности России;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распознавать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34" w:rsidRPr="00240E5E" w:rsidRDefault="00196734" w:rsidP="00240E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96734" w:rsidRPr="00240E5E" w:rsidSect="0008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B3" w:rsidRDefault="008311B3" w:rsidP="00757FE7">
      <w:pPr>
        <w:spacing w:after="0" w:line="240" w:lineRule="auto"/>
      </w:pPr>
      <w:r>
        <w:separator/>
      </w:r>
    </w:p>
  </w:endnote>
  <w:endnote w:type="continuationSeparator" w:id="0">
    <w:p w:rsidR="008311B3" w:rsidRDefault="008311B3" w:rsidP="0075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535267"/>
      <w:docPartObj>
        <w:docPartGallery w:val="Page Numbers (Bottom of Page)"/>
        <w:docPartUnique/>
      </w:docPartObj>
    </w:sdtPr>
    <w:sdtEndPr/>
    <w:sdtContent>
      <w:p w:rsidR="006119DD" w:rsidRDefault="00080BD9">
        <w:pPr>
          <w:pStyle w:val="a7"/>
          <w:jc w:val="right"/>
        </w:pPr>
        <w:r>
          <w:fldChar w:fldCharType="begin"/>
        </w:r>
        <w:r w:rsidR="006119DD">
          <w:instrText>PAGE   \* MERGEFORMAT</w:instrText>
        </w:r>
        <w:r>
          <w:fldChar w:fldCharType="separate"/>
        </w:r>
        <w:r w:rsidR="00572B88">
          <w:rPr>
            <w:noProof/>
          </w:rPr>
          <w:t>3</w:t>
        </w:r>
        <w:r>
          <w:fldChar w:fldCharType="end"/>
        </w:r>
      </w:p>
    </w:sdtContent>
  </w:sdt>
  <w:p w:rsidR="00757FE7" w:rsidRDefault="00757F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B3" w:rsidRDefault="008311B3" w:rsidP="00757FE7">
      <w:pPr>
        <w:spacing w:after="0" w:line="240" w:lineRule="auto"/>
      </w:pPr>
      <w:r>
        <w:separator/>
      </w:r>
    </w:p>
  </w:footnote>
  <w:footnote w:type="continuationSeparator" w:id="0">
    <w:p w:rsidR="008311B3" w:rsidRDefault="008311B3" w:rsidP="0075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7FA"/>
    <w:multiLevelType w:val="multilevel"/>
    <w:tmpl w:val="1C56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7D432E"/>
    <w:multiLevelType w:val="multilevel"/>
    <w:tmpl w:val="76CAA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9651FF8"/>
    <w:multiLevelType w:val="multilevel"/>
    <w:tmpl w:val="35EAE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E069CE"/>
    <w:multiLevelType w:val="hybridMultilevel"/>
    <w:tmpl w:val="EE3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14769"/>
    <w:multiLevelType w:val="hybridMultilevel"/>
    <w:tmpl w:val="5576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A0902"/>
    <w:multiLevelType w:val="hybridMultilevel"/>
    <w:tmpl w:val="337C760A"/>
    <w:lvl w:ilvl="0" w:tplc="DA82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B24E34"/>
    <w:multiLevelType w:val="multilevel"/>
    <w:tmpl w:val="5AB24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353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D983D9C"/>
    <w:multiLevelType w:val="multilevel"/>
    <w:tmpl w:val="E782021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93"/>
    <w:rsid w:val="00080BD9"/>
    <w:rsid w:val="00141B55"/>
    <w:rsid w:val="00175C93"/>
    <w:rsid w:val="00196734"/>
    <w:rsid w:val="00240E5E"/>
    <w:rsid w:val="00272F8E"/>
    <w:rsid w:val="003967F1"/>
    <w:rsid w:val="00403A59"/>
    <w:rsid w:val="00511FC1"/>
    <w:rsid w:val="00521868"/>
    <w:rsid w:val="0056390F"/>
    <w:rsid w:val="00572B88"/>
    <w:rsid w:val="00572D91"/>
    <w:rsid w:val="006119DD"/>
    <w:rsid w:val="00694533"/>
    <w:rsid w:val="00715ED4"/>
    <w:rsid w:val="00757FE7"/>
    <w:rsid w:val="007970E3"/>
    <w:rsid w:val="007E6D3F"/>
    <w:rsid w:val="008311B3"/>
    <w:rsid w:val="00A45C5D"/>
    <w:rsid w:val="00C022EC"/>
    <w:rsid w:val="00D7705C"/>
    <w:rsid w:val="00EC7CD5"/>
    <w:rsid w:val="00F04766"/>
    <w:rsid w:val="00F6760D"/>
    <w:rsid w:val="00F81E5C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9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C9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93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75C9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175C9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175C93"/>
    <w:rPr>
      <w:rFonts w:ascii="Arial" w:hAnsi="Arial" w:cs="Arial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175C93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FE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FE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9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C9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93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75C9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175C9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175C93"/>
    <w:rPr>
      <w:rFonts w:ascii="Arial" w:hAnsi="Arial" w:cs="Arial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175C93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FE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FE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</dc:creator>
  <cp:keywords/>
  <dc:description/>
  <cp:lastModifiedBy>1</cp:lastModifiedBy>
  <cp:revision>2</cp:revision>
  <dcterms:created xsi:type="dcterms:W3CDTF">2019-12-13T10:07:00Z</dcterms:created>
  <dcterms:modified xsi:type="dcterms:W3CDTF">2019-12-13T10:07:00Z</dcterms:modified>
</cp:coreProperties>
</file>